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7" w:usb1="08070000" w:usb2="00000010" w:usb3="00000000" w:csb0="0002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08"/>
    <w:multiLevelType w:val="hybridMultilevel"/>
    <w:tmpl w:val="4B2E80C6"/>
    <w:lvl w:ilvl="0" w:tplc="B6462AAC">
      <w:start w:val="1"/>
      <w:numFmt w:val="decimal"/>
      <w:lvlText w:val="%1. "/>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D35FFC"/>
    <w:multiLevelType w:val="hybridMultilevel"/>
    <w:tmpl w:val="483A2FB8"/>
    <w:lvl w:ilvl="0" w:tplc="061814D4">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51E09BD"/>
    <w:multiLevelType w:val="hybridMultilevel"/>
    <w:tmpl w:val="A5D2F470"/>
    <w:lvl w:ilvl="0" w:tplc="10D4EA8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A2E476A"/>
    <w:multiLevelType w:val="hybridMultilevel"/>
    <w:tmpl w:val="548E4DE8"/>
    <w:lvl w:ilvl="0" w:tplc="01F8CC26">
      <w:start w:val="1"/>
      <w:numFmt w:val="decimal"/>
      <w:lvlText w:val="%1."/>
      <w:lvlJc w:val="left"/>
      <w:pPr>
        <w:ind w:left="720" w:hanging="360"/>
      </w:pPr>
      <w:rPr>
        <w:rFonts w:hint="default"/>
        <w:b/>
        <w:color w:val="00B050"/>
        <w:sz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D3021EA"/>
    <w:multiLevelType w:val="hybridMultilevel"/>
    <w:tmpl w:val="74427BA0"/>
    <w:lvl w:ilvl="0" w:tplc="B1627DE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22412C4"/>
    <w:multiLevelType w:val="hybridMultilevel"/>
    <w:tmpl w:val="A2064206"/>
    <w:lvl w:ilvl="0" w:tplc="821A9CD8">
      <w:start w:val="1"/>
      <w:numFmt w:val="decimal"/>
      <w:lvlText w:val="%1."/>
      <w:lvlJc w:val="left"/>
      <w:pPr>
        <w:ind w:left="720" w:hanging="360"/>
      </w:pPr>
      <w:rPr>
        <w:rFonts w:hint="default"/>
        <w:color w:val="1212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7A84103"/>
    <w:multiLevelType w:val="hybridMultilevel"/>
    <w:tmpl w:val="6A246314"/>
    <w:lvl w:ilvl="0" w:tplc="141A0017">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1BA541A8"/>
    <w:multiLevelType w:val="hybridMultilevel"/>
    <w:tmpl w:val="3D10FA34"/>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2EA47325"/>
    <w:multiLevelType w:val="hybridMultilevel"/>
    <w:tmpl w:val="448C45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3866C09"/>
    <w:multiLevelType w:val="hybridMultilevel"/>
    <w:tmpl w:val="BBCADDF4"/>
    <w:lvl w:ilvl="0" w:tplc="141A0001">
      <w:start w:val="1"/>
      <w:numFmt w:val="bullet"/>
      <w:lvlText w:val=""/>
      <w:lvlJc w:val="left"/>
      <w:pPr>
        <w:ind w:left="1211" w:hanging="360"/>
      </w:pPr>
      <w:rPr>
        <w:rFonts w:ascii="Symbol" w:hAnsi="Symbol" w:hint="default"/>
      </w:rPr>
    </w:lvl>
    <w:lvl w:ilvl="1" w:tplc="141A0003" w:tentative="1">
      <w:start w:val="1"/>
      <w:numFmt w:val="bullet"/>
      <w:lvlText w:val="o"/>
      <w:lvlJc w:val="left"/>
      <w:pPr>
        <w:ind w:left="1931" w:hanging="360"/>
      </w:pPr>
      <w:rPr>
        <w:rFonts w:ascii="Courier New" w:hAnsi="Courier New" w:cs="Courier New" w:hint="default"/>
      </w:rPr>
    </w:lvl>
    <w:lvl w:ilvl="2" w:tplc="141A0005" w:tentative="1">
      <w:start w:val="1"/>
      <w:numFmt w:val="bullet"/>
      <w:lvlText w:val=""/>
      <w:lvlJc w:val="left"/>
      <w:pPr>
        <w:ind w:left="2651" w:hanging="360"/>
      </w:pPr>
      <w:rPr>
        <w:rFonts w:ascii="Wingdings" w:hAnsi="Wingdings" w:hint="default"/>
      </w:rPr>
    </w:lvl>
    <w:lvl w:ilvl="3" w:tplc="141A0001" w:tentative="1">
      <w:start w:val="1"/>
      <w:numFmt w:val="bullet"/>
      <w:lvlText w:val=""/>
      <w:lvlJc w:val="left"/>
      <w:pPr>
        <w:ind w:left="3371" w:hanging="360"/>
      </w:pPr>
      <w:rPr>
        <w:rFonts w:ascii="Symbol" w:hAnsi="Symbol" w:hint="default"/>
      </w:rPr>
    </w:lvl>
    <w:lvl w:ilvl="4" w:tplc="141A0003" w:tentative="1">
      <w:start w:val="1"/>
      <w:numFmt w:val="bullet"/>
      <w:lvlText w:val="o"/>
      <w:lvlJc w:val="left"/>
      <w:pPr>
        <w:ind w:left="4091" w:hanging="360"/>
      </w:pPr>
      <w:rPr>
        <w:rFonts w:ascii="Courier New" w:hAnsi="Courier New" w:cs="Courier New" w:hint="default"/>
      </w:rPr>
    </w:lvl>
    <w:lvl w:ilvl="5" w:tplc="141A0005" w:tentative="1">
      <w:start w:val="1"/>
      <w:numFmt w:val="bullet"/>
      <w:lvlText w:val=""/>
      <w:lvlJc w:val="left"/>
      <w:pPr>
        <w:ind w:left="4811" w:hanging="360"/>
      </w:pPr>
      <w:rPr>
        <w:rFonts w:ascii="Wingdings" w:hAnsi="Wingdings" w:hint="default"/>
      </w:rPr>
    </w:lvl>
    <w:lvl w:ilvl="6" w:tplc="141A0001" w:tentative="1">
      <w:start w:val="1"/>
      <w:numFmt w:val="bullet"/>
      <w:lvlText w:val=""/>
      <w:lvlJc w:val="left"/>
      <w:pPr>
        <w:ind w:left="5531" w:hanging="360"/>
      </w:pPr>
      <w:rPr>
        <w:rFonts w:ascii="Symbol" w:hAnsi="Symbol" w:hint="default"/>
      </w:rPr>
    </w:lvl>
    <w:lvl w:ilvl="7" w:tplc="141A0003" w:tentative="1">
      <w:start w:val="1"/>
      <w:numFmt w:val="bullet"/>
      <w:lvlText w:val="o"/>
      <w:lvlJc w:val="left"/>
      <w:pPr>
        <w:ind w:left="6251" w:hanging="360"/>
      </w:pPr>
      <w:rPr>
        <w:rFonts w:ascii="Courier New" w:hAnsi="Courier New" w:cs="Courier New" w:hint="default"/>
      </w:rPr>
    </w:lvl>
    <w:lvl w:ilvl="8" w:tplc="141A0005" w:tentative="1">
      <w:start w:val="1"/>
      <w:numFmt w:val="bullet"/>
      <w:lvlText w:val=""/>
      <w:lvlJc w:val="left"/>
      <w:pPr>
        <w:ind w:left="6971" w:hanging="360"/>
      </w:pPr>
      <w:rPr>
        <w:rFonts w:ascii="Wingdings" w:hAnsi="Wingdings" w:hint="default"/>
      </w:rPr>
    </w:lvl>
  </w:abstractNum>
  <w:abstractNum w:abstractNumId="10">
    <w:nsid w:val="511D1CCC"/>
    <w:multiLevelType w:val="hybridMultilevel"/>
    <w:tmpl w:val="340E68B0"/>
    <w:lvl w:ilvl="0" w:tplc="16E22094">
      <w:start w:val="6"/>
      <w:numFmt w:val="bullet"/>
      <w:lvlText w:val="-"/>
      <w:lvlJc w:val="left"/>
      <w:pPr>
        <w:ind w:left="1070" w:hanging="360"/>
      </w:pPr>
      <w:rPr>
        <w:rFonts w:ascii="Arial" w:eastAsia="Arial Unicode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A07768C"/>
    <w:multiLevelType w:val="hybridMultilevel"/>
    <w:tmpl w:val="0BF62404"/>
    <w:lvl w:ilvl="0" w:tplc="B58C70E2">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75D07090"/>
    <w:multiLevelType w:val="hybridMultilevel"/>
    <w:tmpl w:val="10ACFF46"/>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7C023C9D"/>
    <w:multiLevelType w:val="hybridMultilevel"/>
    <w:tmpl w:val="6A2463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7FC038C8"/>
    <w:multiLevelType w:val="hybridMultilevel"/>
    <w:tmpl w:val="92DA46D0"/>
    <w:lvl w:ilvl="0" w:tplc="D21E873C">
      <w:start w:val="1"/>
      <w:numFmt w:val="bullet"/>
      <w:lvlText w:val=""/>
      <w:lvlJc w:val="left"/>
      <w:pPr>
        <w:ind w:left="720" w:hanging="360"/>
      </w:pPr>
      <w:rPr>
        <w:rFonts w:ascii="Symbol" w:eastAsiaTheme="minorHAnsi" w:hAnsi="Symbol" w:cs="Arial"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0"/>
  </w:num>
  <w:num w:numId="5">
    <w:abstractNumId w:val="3"/>
  </w:num>
  <w:num w:numId="6">
    <w:abstractNumId w:val="13"/>
  </w:num>
  <w:num w:numId="7">
    <w:abstractNumId w:val="6"/>
  </w:num>
  <w:num w:numId="8">
    <w:abstractNumId w:val="5"/>
  </w:num>
  <w:num w:numId="9">
    <w:abstractNumId w:val="10"/>
  </w:num>
  <w:num w:numId="10">
    <w:abstractNumId w:val="8"/>
  </w:num>
  <w:num w:numId="11">
    <w:abstractNumId w:val="11"/>
  </w:num>
  <w:num w:numId="12">
    <w:abstractNumId w:val="1"/>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C7"/>
    <w:rsid w:val="000015F2"/>
    <w:rsid w:val="00003A71"/>
    <w:rsid w:val="00003E64"/>
    <w:rsid w:val="00005444"/>
    <w:rsid w:val="00005BEB"/>
    <w:rsid w:val="000103BF"/>
    <w:rsid w:val="00010460"/>
    <w:rsid w:val="00017150"/>
    <w:rsid w:val="000278C0"/>
    <w:rsid w:val="00032E7D"/>
    <w:rsid w:val="00035CC9"/>
    <w:rsid w:val="00036812"/>
    <w:rsid w:val="00044536"/>
    <w:rsid w:val="000448B0"/>
    <w:rsid w:val="0004677F"/>
    <w:rsid w:val="00046EEA"/>
    <w:rsid w:val="0005079B"/>
    <w:rsid w:val="00056005"/>
    <w:rsid w:val="00057384"/>
    <w:rsid w:val="000574A4"/>
    <w:rsid w:val="0006224B"/>
    <w:rsid w:val="00066296"/>
    <w:rsid w:val="00067770"/>
    <w:rsid w:val="00084064"/>
    <w:rsid w:val="00090EFE"/>
    <w:rsid w:val="000917C4"/>
    <w:rsid w:val="000938DE"/>
    <w:rsid w:val="00095138"/>
    <w:rsid w:val="000956A9"/>
    <w:rsid w:val="00097F3F"/>
    <w:rsid w:val="000A1A59"/>
    <w:rsid w:val="000A21F0"/>
    <w:rsid w:val="000B62A1"/>
    <w:rsid w:val="000B643C"/>
    <w:rsid w:val="000B69F5"/>
    <w:rsid w:val="000C2120"/>
    <w:rsid w:val="000C391A"/>
    <w:rsid w:val="000C4DFB"/>
    <w:rsid w:val="000C633A"/>
    <w:rsid w:val="000D0675"/>
    <w:rsid w:val="000D1B17"/>
    <w:rsid w:val="000E143E"/>
    <w:rsid w:val="000E3AE5"/>
    <w:rsid w:val="000E5FCE"/>
    <w:rsid w:val="000E7B51"/>
    <w:rsid w:val="000F03EA"/>
    <w:rsid w:val="000F38E6"/>
    <w:rsid w:val="000F4C2B"/>
    <w:rsid w:val="00101187"/>
    <w:rsid w:val="001039BA"/>
    <w:rsid w:val="00106194"/>
    <w:rsid w:val="001120AF"/>
    <w:rsid w:val="00115807"/>
    <w:rsid w:val="001160F4"/>
    <w:rsid w:val="00116937"/>
    <w:rsid w:val="00116CD4"/>
    <w:rsid w:val="00117AD9"/>
    <w:rsid w:val="001258EB"/>
    <w:rsid w:val="00130687"/>
    <w:rsid w:val="00132FD9"/>
    <w:rsid w:val="0013309F"/>
    <w:rsid w:val="00135F55"/>
    <w:rsid w:val="00136DE4"/>
    <w:rsid w:val="00144625"/>
    <w:rsid w:val="00147DDC"/>
    <w:rsid w:val="00150EC9"/>
    <w:rsid w:val="00154735"/>
    <w:rsid w:val="00164FD0"/>
    <w:rsid w:val="001653F6"/>
    <w:rsid w:val="00165A6F"/>
    <w:rsid w:val="001666D3"/>
    <w:rsid w:val="001670AD"/>
    <w:rsid w:val="0017128C"/>
    <w:rsid w:val="001725AF"/>
    <w:rsid w:val="0017556D"/>
    <w:rsid w:val="00177030"/>
    <w:rsid w:val="00177B11"/>
    <w:rsid w:val="00183072"/>
    <w:rsid w:val="0018430C"/>
    <w:rsid w:val="00193AE9"/>
    <w:rsid w:val="001A18AC"/>
    <w:rsid w:val="001A65C3"/>
    <w:rsid w:val="001A72C8"/>
    <w:rsid w:val="001A7A1A"/>
    <w:rsid w:val="001C17AB"/>
    <w:rsid w:val="001C2D37"/>
    <w:rsid w:val="001C35AF"/>
    <w:rsid w:val="001C4FD4"/>
    <w:rsid w:val="001D278C"/>
    <w:rsid w:val="001D2FBD"/>
    <w:rsid w:val="001D5F58"/>
    <w:rsid w:val="001F070C"/>
    <w:rsid w:val="001F2CC2"/>
    <w:rsid w:val="001F39E0"/>
    <w:rsid w:val="001F3BEF"/>
    <w:rsid w:val="001F47D0"/>
    <w:rsid w:val="001F7242"/>
    <w:rsid w:val="002035C2"/>
    <w:rsid w:val="00212615"/>
    <w:rsid w:val="00217136"/>
    <w:rsid w:val="002242B4"/>
    <w:rsid w:val="002250C0"/>
    <w:rsid w:val="00227962"/>
    <w:rsid w:val="00235DF5"/>
    <w:rsid w:val="00241C04"/>
    <w:rsid w:val="00245B87"/>
    <w:rsid w:val="00252405"/>
    <w:rsid w:val="0025766A"/>
    <w:rsid w:val="00260E3E"/>
    <w:rsid w:val="00261DD0"/>
    <w:rsid w:val="002638E3"/>
    <w:rsid w:val="00270D4C"/>
    <w:rsid w:val="00283248"/>
    <w:rsid w:val="00290819"/>
    <w:rsid w:val="00291EAC"/>
    <w:rsid w:val="0029315D"/>
    <w:rsid w:val="00295DA8"/>
    <w:rsid w:val="002A0B78"/>
    <w:rsid w:val="002A1051"/>
    <w:rsid w:val="002A10D2"/>
    <w:rsid w:val="002A1715"/>
    <w:rsid w:val="002A2BE3"/>
    <w:rsid w:val="002A35B2"/>
    <w:rsid w:val="002A7017"/>
    <w:rsid w:val="002B2755"/>
    <w:rsid w:val="002B7804"/>
    <w:rsid w:val="002B7EB7"/>
    <w:rsid w:val="002C1B51"/>
    <w:rsid w:val="002C7E6C"/>
    <w:rsid w:val="002D1523"/>
    <w:rsid w:val="002D28CD"/>
    <w:rsid w:val="002D443B"/>
    <w:rsid w:val="002D7987"/>
    <w:rsid w:val="002E00E6"/>
    <w:rsid w:val="002E6A8C"/>
    <w:rsid w:val="002F073C"/>
    <w:rsid w:val="00307301"/>
    <w:rsid w:val="00310405"/>
    <w:rsid w:val="00312DCB"/>
    <w:rsid w:val="003177F0"/>
    <w:rsid w:val="0032116E"/>
    <w:rsid w:val="003215CB"/>
    <w:rsid w:val="0033263F"/>
    <w:rsid w:val="00332EBB"/>
    <w:rsid w:val="00332ED5"/>
    <w:rsid w:val="00333653"/>
    <w:rsid w:val="00333A0F"/>
    <w:rsid w:val="00334402"/>
    <w:rsid w:val="003357DF"/>
    <w:rsid w:val="00341A73"/>
    <w:rsid w:val="003448F3"/>
    <w:rsid w:val="003462B4"/>
    <w:rsid w:val="00350162"/>
    <w:rsid w:val="00351B32"/>
    <w:rsid w:val="00351D21"/>
    <w:rsid w:val="00352D5E"/>
    <w:rsid w:val="00354732"/>
    <w:rsid w:val="0035550C"/>
    <w:rsid w:val="003557D9"/>
    <w:rsid w:val="0035733C"/>
    <w:rsid w:val="003575D1"/>
    <w:rsid w:val="00363A24"/>
    <w:rsid w:val="00365741"/>
    <w:rsid w:val="00370215"/>
    <w:rsid w:val="003707ED"/>
    <w:rsid w:val="003738D5"/>
    <w:rsid w:val="003747AD"/>
    <w:rsid w:val="0037655D"/>
    <w:rsid w:val="00391260"/>
    <w:rsid w:val="00394920"/>
    <w:rsid w:val="003959B5"/>
    <w:rsid w:val="00396B8E"/>
    <w:rsid w:val="003A1DC6"/>
    <w:rsid w:val="003A6706"/>
    <w:rsid w:val="003B0597"/>
    <w:rsid w:val="003B1A70"/>
    <w:rsid w:val="003B1AD7"/>
    <w:rsid w:val="003B4725"/>
    <w:rsid w:val="003B548A"/>
    <w:rsid w:val="003C4FF7"/>
    <w:rsid w:val="003C726D"/>
    <w:rsid w:val="003D06EF"/>
    <w:rsid w:val="003D13B3"/>
    <w:rsid w:val="003D2CB6"/>
    <w:rsid w:val="003E561B"/>
    <w:rsid w:val="003E69A9"/>
    <w:rsid w:val="003E7036"/>
    <w:rsid w:val="003E70DD"/>
    <w:rsid w:val="003F0124"/>
    <w:rsid w:val="003F183F"/>
    <w:rsid w:val="003F4605"/>
    <w:rsid w:val="00400214"/>
    <w:rsid w:val="004015BA"/>
    <w:rsid w:val="004056D6"/>
    <w:rsid w:val="00406F1C"/>
    <w:rsid w:val="00416285"/>
    <w:rsid w:val="004166A0"/>
    <w:rsid w:val="00417608"/>
    <w:rsid w:val="00421DEE"/>
    <w:rsid w:val="004245C5"/>
    <w:rsid w:val="00431639"/>
    <w:rsid w:val="00431813"/>
    <w:rsid w:val="00440426"/>
    <w:rsid w:val="00441C72"/>
    <w:rsid w:val="00442039"/>
    <w:rsid w:val="00444083"/>
    <w:rsid w:val="00455BF2"/>
    <w:rsid w:val="004571CA"/>
    <w:rsid w:val="00461CB0"/>
    <w:rsid w:val="00463659"/>
    <w:rsid w:val="004642D1"/>
    <w:rsid w:val="00473FB0"/>
    <w:rsid w:val="00474968"/>
    <w:rsid w:val="00483666"/>
    <w:rsid w:val="00485CD9"/>
    <w:rsid w:val="004866A9"/>
    <w:rsid w:val="00486E4B"/>
    <w:rsid w:val="0049206E"/>
    <w:rsid w:val="004A1ACB"/>
    <w:rsid w:val="004A53B8"/>
    <w:rsid w:val="004B49FA"/>
    <w:rsid w:val="004B727C"/>
    <w:rsid w:val="004C0AF8"/>
    <w:rsid w:val="004C0B33"/>
    <w:rsid w:val="004C254F"/>
    <w:rsid w:val="004C356F"/>
    <w:rsid w:val="004C3835"/>
    <w:rsid w:val="004C3A0D"/>
    <w:rsid w:val="004C3C03"/>
    <w:rsid w:val="004D68BA"/>
    <w:rsid w:val="004E2264"/>
    <w:rsid w:val="004E34C1"/>
    <w:rsid w:val="004E4FB4"/>
    <w:rsid w:val="004F0889"/>
    <w:rsid w:val="004F263A"/>
    <w:rsid w:val="004F322F"/>
    <w:rsid w:val="005051E0"/>
    <w:rsid w:val="00507797"/>
    <w:rsid w:val="0051244F"/>
    <w:rsid w:val="00514579"/>
    <w:rsid w:val="0051519A"/>
    <w:rsid w:val="00515D64"/>
    <w:rsid w:val="005200EF"/>
    <w:rsid w:val="005249BB"/>
    <w:rsid w:val="0052787D"/>
    <w:rsid w:val="00531138"/>
    <w:rsid w:val="005331FB"/>
    <w:rsid w:val="005356EC"/>
    <w:rsid w:val="00536BB6"/>
    <w:rsid w:val="00540C2F"/>
    <w:rsid w:val="0054399D"/>
    <w:rsid w:val="0054431F"/>
    <w:rsid w:val="00544CA0"/>
    <w:rsid w:val="00553FCF"/>
    <w:rsid w:val="00554FB3"/>
    <w:rsid w:val="0056066B"/>
    <w:rsid w:val="005606B2"/>
    <w:rsid w:val="005662D8"/>
    <w:rsid w:val="00566D76"/>
    <w:rsid w:val="00571576"/>
    <w:rsid w:val="00572EBF"/>
    <w:rsid w:val="00577542"/>
    <w:rsid w:val="00586AEC"/>
    <w:rsid w:val="00593A51"/>
    <w:rsid w:val="00595F81"/>
    <w:rsid w:val="005A01F9"/>
    <w:rsid w:val="005A1B2C"/>
    <w:rsid w:val="005A3520"/>
    <w:rsid w:val="005B32C5"/>
    <w:rsid w:val="005B3E87"/>
    <w:rsid w:val="005B476B"/>
    <w:rsid w:val="005B4E9D"/>
    <w:rsid w:val="005B5F76"/>
    <w:rsid w:val="005B77AC"/>
    <w:rsid w:val="005C2546"/>
    <w:rsid w:val="005C3DB3"/>
    <w:rsid w:val="005C6D0D"/>
    <w:rsid w:val="005D20FD"/>
    <w:rsid w:val="005D3974"/>
    <w:rsid w:val="005D4A34"/>
    <w:rsid w:val="005E767C"/>
    <w:rsid w:val="005F77D9"/>
    <w:rsid w:val="00605351"/>
    <w:rsid w:val="00605A96"/>
    <w:rsid w:val="0060680D"/>
    <w:rsid w:val="00612370"/>
    <w:rsid w:val="00614462"/>
    <w:rsid w:val="00614AAF"/>
    <w:rsid w:val="0061789E"/>
    <w:rsid w:val="00617ED8"/>
    <w:rsid w:val="00631C45"/>
    <w:rsid w:val="0063331E"/>
    <w:rsid w:val="0063368A"/>
    <w:rsid w:val="00633812"/>
    <w:rsid w:val="00635353"/>
    <w:rsid w:val="00635469"/>
    <w:rsid w:val="00635B8A"/>
    <w:rsid w:val="006425CF"/>
    <w:rsid w:val="0064485A"/>
    <w:rsid w:val="00647A1C"/>
    <w:rsid w:val="00647B63"/>
    <w:rsid w:val="00650D44"/>
    <w:rsid w:val="00651297"/>
    <w:rsid w:val="00651A57"/>
    <w:rsid w:val="00652B0F"/>
    <w:rsid w:val="00653834"/>
    <w:rsid w:val="00654065"/>
    <w:rsid w:val="00655EDC"/>
    <w:rsid w:val="006563A1"/>
    <w:rsid w:val="006568A6"/>
    <w:rsid w:val="0065708E"/>
    <w:rsid w:val="00657654"/>
    <w:rsid w:val="00660C36"/>
    <w:rsid w:val="00665288"/>
    <w:rsid w:val="00665D3C"/>
    <w:rsid w:val="0067046E"/>
    <w:rsid w:val="00672D02"/>
    <w:rsid w:val="00673FD8"/>
    <w:rsid w:val="0067670E"/>
    <w:rsid w:val="00676F38"/>
    <w:rsid w:val="00683D69"/>
    <w:rsid w:val="00684DC4"/>
    <w:rsid w:val="00685D4D"/>
    <w:rsid w:val="00685FD4"/>
    <w:rsid w:val="006A03AD"/>
    <w:rsid w:val="006A46FD"/>
    <w:rsid w:val="006B024F"/>
    <w:rsid w:val="006B3023"/>
    <w:rsid w:val="006B36EB"/>
    <w:rsid w:val="006B5263"/>
    <w:rsid w:val="006C4217"/>
    <w:rsid w:val="006C56AE"/>
    <w:rsid w:val="006C58E7"/>
    <w:rsid w:val="006D24BA"/>
    <w:rsid w:val="006D7248"/>
    <w:rsid w:val="006E6CC8"/>
    <w:rsid w:val="006E7E2A"/>
    <w:rsid w:val="006F4C14"/>
    <w:rsid w:val="006F7A4E"/>
    <w:rsid w:val="00704684"/>
    <w:rsid w:val="00707D4F"/>
    <w:rsid w:val="00710E7D"/>
    <w:rsid w:val="007110E6"/>
    <w:rsid w:val="00711266"/>
    <w:rsid w:val="007143BB"/>
    <w:rsid w:val="0071617B"/>
    <w:rsid w:val="0072331D"/>
    <w:rsid w:val="00725837"/>
    <w:rsid w:val="007261EB"/>
    <w:rsid w:val="00730776"/>
    <w:rsid w:val="007318DC"/>
    <w:rsid w:val="00732C82"/>
    <w:rsid w:val="007330AE"/>
    <w:rsid w:val="007375B6"/>
    <w:rsid w:val="007376CC"/>
    <w:rsid w:val="00742C89"/>
    <w:rsid w:val="00746625"/>
    <w:rsid w:val="007504F5"/>
    <w:rsid w:val="00750DD7"/>
    <w:rsid w:val="007545E9"/>
    <w:rsid w:val="00755251"/>
    <w:rsid w:val="00755A0F"/>
    <w:rsid w:val="00760D72"/>
    <w:rsid w:val="00762C62"/>
    <w:rsid w:val="0077300B"/>
    <w:rsid w:val="007730F7"/>
    <w:rsid w:val="0077406F"/>
    <w:rsid w:val="00774664"/>
    <w:rsid w:val="00774B2D"/>
    <w:rsid w:val="007770A4"/>
    <w:rsid w:val="00781F83"/>
    <w:rsid w:val="007863B0"/>
    <w:rsid w:val="0079358F"/>
    <w:rsid w:val="00797C35"/>
    <w:rsid w:val="007A0839"/>
    <w:rsid w:val="007A1890"/>
    <w:rsid w:val="007A57D4"/>
    <w:rsid w:val="007A5CF1"/>
    <w:rsid w:val="007B2243"/>
    <w:rsid w:val="007B5BCC"/>
    <w:rsid w:val="007C1D3C"/>
    <w:rsid w:val="007D1941"/>
    <w:rsid w:val="007D6C0D"/>
    <w:rsid w:val="007E64DD"/>
    <w:rsid w:val="007F46E1"/>
    <w:rsid w:val="007F558A"/>
    <w:rsid w:val="008007FA"/>
    <w:rsid w:val="00804461"/>
    <w:rsid w:val="00807664"/>
    <w:rsid w:val="00811897"/>
    <w:rsid w:val="008212C7"/>
    <w:rsid w:val="008264D3"/>
    <w:rsid w:val="008279AE"/>
    <w:rsid w:val="0083263C"/>
    <w:rsid w:val="00835ADA"/>
    <w:rsid w:val="008433E0"/>
    <w:rsid w:val="00845253"/>
    <w:rsid w:val="00847953"/>
    <w:rsid w:val="008522AC"/>
    <w:rsid w:val="00852D44"/>
    <w:rsid w:val="00853990"/>
    <w:rsid w:val="008568F6"/>
    <w:rsid w:val="008710C1"/>
    <w:rsid w:val="008721E7"/>
    <w:rsid w:val="00873249"/>
    <w:rsid w:val="00882EB5"/>
    <w:rsid w:val="00886E8B"/>
    <w:rsid w:val="0089587C"/>
    <w:rsid w:val="00896538"/>
    <w:rsid w:val="00897AE8"/>
    <w:rsid w:val="008A026B"/>
    <w:rsid w:val="008A41EC"/>
    <w:rsid w:val="008A55F3"/>
    <w:rsid w:val="008B0DCF"/>
    <w:rsid w:val="008B3A65"/>
    <w:rsid w:val="008B5DC0"/>
    <w:rsid w:val="008C19C3"/>
    <w:rsid w:val="008C235F"/>
    <w:rsid w:val="008C3772"/>
    <w:rsid w:val="008C3F20"/>
    <w:rsid w:val="008C4794"/>
    <w:rsid w:val="008C5466"/>
    <w:rsid w:val="008C7352"/>
    <w:rsid w:val="008D4DC3"/>
    <w:rsid w:val="008D5252"/>
    <w:rsid w:val="008E1E81"/>
    <w:rsid w:val="008E50C7"/>
    <w:rsid w:val="008F1539"/>
    <w:rsid w:val="0090226F"/>
    <w:rsid w:val="00903BDC"/>
    <w:rsid w:val="00905EEA"/>
    <w:rsid w:val="00906C61"/>
    <w:rsid w:val="00907CAE"/>
    <w:rsid w:val="0091032F"/>
    <w:rsid w:val="00914923"/>
    <w:rsid w:val="00922203"/>
    <w:rsid w:val="00925090"/>
    <w:rsid w:val="00925AE1"/>
    <w:rsid w:val="0092685A"/>
    <w:rsid w:val="00935222"/>
    <w:rsid w:val="00936586"/>
    <w:rsid w:val="00936C80"/>
    <w:rsid w:val="0094394C"/>
    <w:rsid w:val="00951026"/>
    <w:rsid w:val="0095213A"/>
    <w:rsid w:val="00965279"/>
    <w:rsid w:val="00965BE0"/>
    <w:rsid w:val="00967BB9"/>
    <w:rsid w:val="009702E3"/>
    <w:rsid w:val="0097569F"/>
    <w:rsid w:val="00977101"/>
    <w:rsid w:val="009772BB"/>
    <w:rsid w:val="00986D7E"/>
    <w:rsid w:val="0099039B"/>
    <w:rsid w:val="00994519"/>
    <w:rsid w:val="00995C68"/>
    <w:rsid w:val="009A0438"/>
    <w:rsid w:val="009A429D"/>
    <w:rsid w:val="009B0040"/>
    <w:rsid w:val="009B1020"/>
    <w:rsid w:val="009B14FB"/>
    <w:rsid w:val="009B1537"/>
    <w:rsid w:val="009B1C85"/>
    <w:rsid w:val="009B27F8"/>
    <w:rsid w:val="009B6531"/>
    <w:rsid w:val="009B6F6E"/>
    <w:rsid w:val="009C5032"/>
    <w:rsid w:val="009C6F70"/>
    <w:rsid w:val="009D09C9"/>
    <w:rsid w:val="009D1BA7"/>
    <w:rsid w:val="009D5C10"/>
    <w:rsid w:val="009E00D7"/>
    <w:rsid w:val="009E2856"/>
    <w:rsid w:val="009E2FE6"/>
    <w:rsid w:val="009E6085"/>
    <w:rsid w:val="009E74AC"/>
    <w:rsid w:val="009F3CD8"/>
    <w:rsid w:val="009F44E6"/>
    <w:rsid w:val="00A01A91"/>
    <w:rsid w:val="00A02FE7"/>
    <w:rsid w:val="00A056EA"/>
    <w:rsid w:val="00A05718"/>
    <w:rsid w:val="00A07697"/>
    <w:rsid w:val="00A10E05"/>
    <w:rsid w:val="00A13C29"/>
    <w:rsid w:val="00A1489C"/>
    <w:rsid w:val="00A173F0"/>
    <w:rsid w:val="00A17482"/>
    <w:rsid w:val="00A175DA"/>
    <w:rsid w:val="00A17F90"/>
    <w:rsid w:val="00A23479"/>
    <w:rsid w:val="00A25B51"/>
    <w:rsid w:val="00A27237"/>
    <w:rsid w:val="00A4431F"/>
    <w:rsid w:val="00A47CBC"/>
    <w:rsid w:val="00A5026B"/>
    <w:rsid w:val="00A55984"/>
    <w:rsid w:val="00A571FE"/>
    <w:rsid w:val="00A618F3"/>
    <w:rsid w:val="00A622BE"/>
    <w:rsid w:val="00A63EE2"/>
    <w:rsid w:val="00A6418B"/>
    <w:rsid w:val="00A6483C"/>
    <w:rsid w:val="00A6503B"/>
    <w:rsid w:val="00A66D69"/>
    <w:rsid w:val="00A81BD4"/>
    <w:rsid w:val="00A90FD4"/>
    <w:rsid w:val="00A97BFD"/>
    <w:rsid w:val="00AA0634"/>
    <w:rsid w:val="00AA75FF"/>
    <w:rsid w:val="00AB4294"/>
    <w:rsid w:val="00AC12BA"/>
    <w:rsid w:val="00AC5577"/>
    <w:rsid w:val="00AC6E8D"/>
    <w:rsid w:val="00AC71DC"/>
    <w:rsid w:val="00AD2D51"/>
    <w:rsid w:val="00AE4458"/>
    <w:rsid w:val="00AE6937"/>
    <w:rsid w:val="00AF0F73"/>
    <w:rsid w:val="00AF3CCA"/>
    <w:rsid w:val="00AF7CF9"/>
    <w:rsid w:val="00B004B4"/>
    <w:rsid w:val="00B01CDC"/>
    <w:rsid w:val="00B02E10"/>
    <w:rsid w:val="00B03136"/>
    <w:rsid w:val="00B111C7"/>
    <w:rsid w:val="00B15F20"/>
    <w:rsid w:val="00B204F2"/>
    <w:rsid w:val="00B21432"/>
    <w:rsid w:val="00B21D17"/>
    <w:rsid w:val="00B21F3B"/>
    <w:rsid w:val="00B22941"/>
    <w:rsid w:val="00B305E8"/>
    <w:rsid w:val="00B30EF1"/>
    <w:rsid w:val="00B338C9"/>
    <w:rsid w:val="00B36360"/>
    <w:rsid w:val="00B44D0F"/>
    <w:rsid w:val="00B46105"/>
    <w:rsid w:val="00B46C76"/>
    <w:rsid w:val="00B47C84"/>
    <w:rsid w:val="00B50C6F"/>
    <w:rsid w:val="00B528A3"/>
    <w:rsid w:val="00B5565F"/>
    <w:rsid w:val="00B55973"/>
    <w:rsid w:val="00B55F07"/>
    <w:rsid w:val="00B562C5"/>
    <w:rsid w:val="00B563C2"/>
    <w:rsid w:val="00B56572"/>
    <w:rsid w:val="00B56B6A"/>
    <w:rsid w:val="00B6486F"/>
    <w:rsid w:val="00B67691"/>
    <w:rsid w:val="00B718EE"/>
    <w:rsid w:val="00B72F4A"/>
    <w:rsid w:val="00B7372D"/>
    <w:rsid w:val="00B755F8"/>
    <w:rsid w:val="00B865CC"/>
    <w:rsid w:val="00B95032"/>
    <w:rsid w:val="00B97199"/>
    <w:rsid w:val="00BA0C45"/>
    <w:rsid w:val="00BA525B"/>
    <w:rsid w:val="00BA7041"/>
    <w:rsid w:val="00BA77CD"/>
    <w:rsid w:val="00BB1A03"/>
    <w:rsid w:val="00BB3DC1"/>
    <w:rsid w:val="00BB465A"/>
    <w:rsid w:val="00BB5B5C"/>
    <w:rsid w:val="00BC01B7"/>
    <w:rsid w:val="00BC0C7E"/>
    <w:rsid w:val="00BC4282"/>
    <w:rsid w:val="00BC45E0"/>
    <w:rsid w:val="00BC73AE"/>
    <w:rsid w:val="00BD124B"/>
    <w:rsid w:val="00BD3AA8"/>
    <w:rsid w:val="00BD5480"/>
    <w:rsid w:val="00BE0D10"/>
    <w:rsid w:val="00BE0E24"/>
    <w:rsid w:val="00BE1178"/>
    <w:rsid w:val="00BE5EE6"/>
    <w:rsid w:val="00BF2271"/>
    <w:rsid w:val="00C00811"/>
    <w:rsid w:val="00C012F7"/>
    <w:rsid w:val="00C03846"/>
    <w:rsid w:val="00C04566"/>
    <w:rsid w:val="00C06178"/>
    <w:rsid w:val="00C10AB9"/>
    <w:rsid w:val="00C110D4"/>
    <w:rsid w:val="00C11D63"/>
    <w:rsid w:val="00C13D93"/>
    <w:rsid w:val="00C161BA"/>
    <w:rsid w:val="00C17741"/>
    <w:rsid w:val="00C215CF"/>
    <w:rsid w:val="00C2427A"/>
    <w:rsid w:val="00C32515"/>
    <w:rsid w:val="00C37E20"/>
    <w:rsid w:val="00C40E84"/>
    <w:rsid w:val="00C41DE8"/>
    <w:rsid w:val="00C43094"/>
    <w:rsid w:val="00C447E3"/>
    <w:rsid w:val="00C4543D"/>
    <w:rsid w:val="00C50E13"/>
    <w:rsid w:val="00C54E02"/>
    <w:rsid w:val="00C615EE"/>
    <w:rsid w:val="00C63927"/>
    <w:rsid w:val="00C67911"/>
    <w:rsid w:val="00C76B9C"/>
    <w:rsid w:val="00C81AC0"/>
    <w:rsid w:val="00C830D0"/>
    <w:rsid w:val="00C83168"/>
    <w:rsid w:val="00C832B7"/>
    <w:rsid w:val="00C87711"/>
    <w:rsid w:val="00C929AB"/>
    <w:rsid w:val="00C9455B"/>
    <w:rsid w:val="00C95527"/>
    <w:rsid w:val="00C9798A"/>
    <w:rsid w:val="00CA17B8"/>
    <w:rsid w:val="00CA49BD"/>
    <w:rsid w:val="00CA53D6"/>
    <w:rsid w:val="00CA7B42"/>
    <w:rsid w:val="00CB4C08"/>
    <w:rsid w:val="00CB7663"/>
    <w:rsid w:val="00CC3FED"/>
    <w:rsid w:val="00CC5E7A"/>
    <w:rsid w:val="00CC7A25"/>
    <w:rsid w:val="00CD59A2"/>
    <w:rsid w:val="00CD5DBB"/>
    <w:rsid w:val="00CE07A9"/>
    <w:rsid w:val="00CE375F"/>
    <w:rsid w:val="00CF0575"/>
    <w:rsid w:val="00CF2913"/>
    <w:rsid w:val="00CF2AEC"/>
    <w:rsid w:val="00CF402B"/>
    <w:rsid w:val="00CF6632"/>
    <w:rsid w:val="00D014EB"/>
    <w:rsid w:val="00D04B7A"/>
    <w:rsid w:val="00D162C8"/>
    <w:rsid w:val="00D163FA"/>
    <w:rsid w:val="00D241D5"/>
    <w:rsid w:val="00D3052C"/>
    <w:rsid w:val="00D30813"/>
    <w:rsid w:val="00D30FED"/>
    <w:rsid w:val="00D320C6"/>
    <w:rsid w:val="00D4196D"/>
    <w:rsid w:val="00D41A4B"/>
    <w:rsid w:val="00D44192"/>
    <w:rsid w:val="00D45EE7"/>
    <w:rsid w:val="00D47B88"/>
    <w:rsid w:val="00D53A74"/>
    <w:rsid w:val="00D6104C"/>
    <w:rsid w:val="00D625BD"/>
    <w:rsid w:val="00D65358"/>
    <w:rsid w:val="00D70654"/>
    <w:rsid w:val="00D71FD7"/>
    <w:rsid w:val="00D72703"/>
    <w:rsid w:val="00D72DA2"/>
    <w:rsid w:val="00D762A5"/>
    <w:rsid w:val="00D8205A"/>
    <w:rsid w:val="00D83C5F"/>
    <w:rsid w:val="00D875BD"/>
    <w:rsid w:val="00D94503"/>
    <w:rsid w:val="00DA0C12"/>
    <w:rsid w:val="00DA1385"/>
    <w:rsid w:val="00DA172F"/>
    <w:rsid w:val="00DA2158"/>
    <w:rsid w:val="00DB278C"/>
    <w:rsid w:val="00DB3410"/>
    <w:rsid w:val="00DB34ED"/>
    <w:rsid w:val="00DC40A3"/>
    <w:rsid w:val="00DC4B2F"/>
    <w:rsid w:val="00DC4CA8"/>
    <w:rsid w:val="00DC6CCA"/>
    <w:rsid w:val="00DD024C"/>
    <w:rsid w:val="00DD1BA7"/>
    <w:rsid w:val="00DD46B5"/>
    <w:rsid w:val="00DD5995"/>
    <w:rsid w:val="00DD75FD"/>
    <w:rsid w:val="00DE21B5"/>
    <w:rsid w:val="00DE513E"/>
    <w:rsid w:val="00DF27ED"/>
    <w:rsid w:val="00DF3C14"/>
    <w:rsid w:val="00E039D7"/>
    <w:rsid w:val="00E0540D"/>
    <w:rsid w:val="00E05F58"/>
    <w:rsid w:val="00E1675C"/>
    <w:rsid w:val="00E20E74"/>
    <w:rsid w:val="00E26F7E"/>
    <w:rsid w:val="00E300DF"/>
    <w:rsid w:val="00E3186D"/>
    <w:rsid w:val="00E50784"/>
    <w:rsid w:val="00E5329E"/>
    <w:rsid w:val="00E67EEE"/>
    <w:rsid w:val="00E711B5"/>
    <w:rsid w:val="00E71ED8"/>
    <w:rsid w:val="00E744CC"/>
    <w:rsid w:val="00E75DFE"/>
    <w:rsid w:val="00E8419C"/>
    <w:rsid w:val="00E84C93"/>
    <w:rsid w:val="00E96CC4"/>
    <w:rsid w:val="00EA3083"/>
    <w:rsid w:val="00EA3981"/>
    <w:rsid w:val="00EA4C71"/>
    <w:rsid w:val="00EA5068"/>
    <w:rsid w:val="00EA75EF"/>
    <w:rsid w:val="00EB2D08"/>
    <w:rsid w:val="00EC1494"/>
    <w:rsid w:val="00EC4BA0"/>
    <w:rsid w:val="00EC55B3"/>
    <w:rsid w:val="00EC6222"/>
    <w:rsid w:val="00EE094A"/>
    <w:rsid w:val="00EE3330"/>
    <w:rsid w:val="00EE4E6C"/>
    <w:rsid w:val="00EF38D7"/>
    <w:rsid w:val="00EF3E6D"/>
    <w:rsid w:val="00EF7743"/>
    <w:rsid w:val="00F03390"/>
    <w:rsid w:val="00F03F3F"/>
    <w:rsid w:val="00F075CF"/>
    <w:rsid w:val="00F13A39"/>
    <w:rsid w:val="00F157C4"/>
    <w:rsid w:val="00F15FE4"/>
    <w:rsid w:val="00F1606B"/>
    <w:rsid w:val="00F219FE"/>
    <w:rsid w:val="00F27518"/>
    <w:rsid w:val="00F31820"/>
    <w:rsid w:val="00F34285"/>
    <w:rsid w:val="00F35C5C"/>
    <w:rsid w:val="00F43737"/>
    <w:rsid w:val="00F512D5"/>
    <w:rsid w:val="00F516BA"/>
    <w:rsid w:val="00F52313"/>
    <w:rsid w:val="00F52515"/>
    <w:rsid w:val="00F5357E"/>
    <w:rsid w:val="00F57782"/>
    <w:rsid w:val="00F64B5E"/>
    <w:rsid w:val="00F7006C"/>
    <w:rsid w:val="00F74B46"/>
    <w:rsid w:val="00F814F6"/>
    <w:rsid w:val="00F84D84"/>
    <w:rsid w:val="00F8794C"/>
    <w:rsid w:val="00F9079A"/>
    <w:rsid w:val="00F924E1"/>
    <w:rsid w:val="00F92B80"/>
    <w:rsid w:val="00F97361"/>
    <w:rsid w:val="00FA46A5"/>
    <w:rsid w:val="00FA54F3"/>
    <w:rsid w:val="00FA58A3"/>
    <w:rsid w:val="00FB4802"/>
    <w:rsid w:val="00FB4BE9"/>
    <w:rsid w:val="00FB4C77"/>
    <w:rsid w:val="00FC115F"/>
    <w:rsid w:val="00FC2CA6"/>
    <w:rsid w:val="00FD2734"/>
    <w:rsid w:val="00FD3C31"/>
    <w:rsid w:val="00FD604E"/>
    <w:rsid w:val="00FE1A91"/>
    <w:rsid w:val="00FE33A0"/>
    <w:rsid w:val="00FE7361"/>
    <w:rsid w:val="00FF073B"/>
    <w:rsid w:val="00FF75B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6D0D"/>
    <w:pPr>
      <w:keepNext/>
      <w:spacing w:after="0" w:line="240" w:lineRule="auto"/>
      <w:outlineLvl w:val="1"/>
    </w:pPr>
    <w:rPr>
      <w:rFonts w:ascii="Times New Roman" w:eastAsia="Times New Roman" w:hAnsi="Times New Roman" w:cs="Times New Roman"/>
      <w:b/>
      <w:bCs/>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1"/>
    <w:pPr>
      <w:ind w:left="720"/>
      <w:contextualSpacing/>
    </w:pPr>
  </w:style>
  <w:style w:type="paragraph" w:styleId="NormalWeb">
    <w:name w:val="Normal (Web)"/>
    <w:basedOn w:val="Normal"/>
    <w:uiPriority w:val="99"/>
    <w:unhideWhenUsed/>
    <w:rsid w:val="007B5BCC"/>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BB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A"/>
    <w:rPr>
      <w:rFonts w:ascii="Tahoma" w:hAnsi="Tahoma" w:cs="Tahoma"/>
      <w:sz w:val="16"/>
      <w:szCs w:val="16"/>
    </w:rPr>
  </w:style>
  <w:style w:type="table" w:customStyle="1" w:styleId="Muris">
    <w:name w:val="Muris"/>
    <w:basedOn w:val="TableTheme"/>
    <w:rsid w:val="00BB465A"/>
    <w:pPr>
      <w:spacing w:after="0" w:line="240" w:lineRule="auto"/>
      <w:jc w:val="center"/>
    </w:pPr>
    <w:rPr>
      <w:rFonts w:ascii="Arial" w:eastAsia="Times New Roman" w:hAnsi="Arial" w:cs="Times New Roman"/>
      <w:sz w:val="20"/>
      <w:szCs w:val="20"/>
      <w:lang w:eastAsia="bs-Latn-BA"/>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B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C6D0D"/>
    <w:rPr>
      <w:rFonts w:ascii="Times New Roman" w:eastAsia="Times New Roman" w:hAnsi="Times New Roman" w:cs="Times New Roman"/>
      <w:b/>
      <w:bCs/>
      <w:sz w:val="28"/>
      <w:szCs w:val="24"/>
      <w:lang w:val="sl-SI"/>
    </w:rPr>
  </w:style>
  <w:style w:type="character" w:customStyle="1" w:styleId="Heading1Char">
    <w:name w:val="Heading 1 Char"/>
    <w:basedOn w:val="DefaultParagraphFont"/>
    <w:link w:val="Heading1"/>
    <w:rsid w:val="005C6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06F"/>
  </w:style>
  <w:style w:type="paragraph" w:styleId="Footer">
    <w:name w:val="footer"/>
    <w:basedOn w:val="Normal"/>
    <w:link w:val="FooterChar"/>
    <w:uiPriority w:val="99"/>
    <w:unhideWhenUsed/>
    <w:rsid w:val="0077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06F"/>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B01CDC"/>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B01CDC"/>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B01CDC"/>
    <w:rPr>
      <w:vertAlign w:val="superscript"/>
    </w:rPr>
  </w:style>
  <w:style w:type="paragraph" w:customStyle="1" w:styleId="Default">
    <w:name w:val="Default"/>
    <w:rsid w:val="00807664"/>
    <w:pPr>
      <w:autoSpaceDE w:val="0"/>
      <w:autoSpaceDN w:val="0"/>
      <w:adjustRightInd w:val="0"/>
      <w:spacing w:after="0" w:line="240" w:lineRule="auto"/>
    </w:pPr>
    <w:rPr>
      <w:rFonts w:ascii="Calibri" w:hAnsi="Calibri" w:cs="Calibri"/>
      <w:color w:val="000000"/>
      <w:sz w:val="24"/>
      <w:szCs w:val="24"/>
    </w:rPr>
  </w:style>
  <w:style w:type="table" w:styleId="MediumShading1-Accent4">
    <w:name w:val="Medium Shading 1 Accent 4"/>
    <w:basedOn w:val="TableNormal"/>
    <w:uiPriority w:val="63"/>
    <w:rsid w:val="003E561B"/>
    <w:pPr>
      <w:spacing w:after="0" w:line="240" w:lineRule="auto"/>
    </w:pPr>
    <w:rPr>
      <w:rFonts w:ascii="Times New Roman" w:eastAsia="Times New Roman" w:hAnsi="Times New Roman" w:cs="Times New Roman"/>
      <w:sz w:val="20"/>
      <w:szCs w:val="20"/>
      <w:lang w:eastAsia="bs-Latn-B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2-Accent1">
    <w:name w:val="Medium List 2 Accent 1"/>
    <w:basedOn w:val="TableNormal"/>
    <w:uiPriority w:val="66"/>
    <w:rsid w:val="008C479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C929AB"/>
    <w:rPr>
      <w:color w:val="0000FF"/>
      <w:u w:val="single"/>
    </w:rPr>
  </w:style>
  <w:style w:type="paragraph" w:styleId="TOC1">
    <w:name w:val="toc 1"/>
    <w:basedOn w:val="Normal"/>
    <w:next w:val="Normal"/>
    <w:autoRedefine/>
    <w:uiPriority w:val="39"/>
    <w:rsid w:val="00C929AB"/>
    <w:pPr>
      <w:spacing w:after="0" w:line="240" w:lineRule="auto"/>
    </w:pPr>
    <w:rPr>
      <w:rFonts w:ascii="Times New Roman" w:eastAsia="Times New Roman" w:hAnsi="Times New Roman" w:cs="Times New Roman"/>
      <w:sz w:val="24"/>
      <w:szCs w:val="24"/>
      <w:lang w:val="hr-HR" w:eastAsia="hr-HR"/>
    </w:rPr>
  </w:style>
  <w:style w:type="table" w:customStyle="1" w:styleId="LightShading-Accent11">
    <w:name w:val="Light Shading - Accent 11"/>
    <w:basedOn w:val="TableNormal"/>
    <w:uiPriority w:val="60"/>
    <w:rsid w:val="00936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365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42C89"/>
    <w:pPr>
      <w:spacing w:after="0" w:line="240" w:lineRule="auto"/>
    </w:pPr>
    <w:rPr>
      <w:rFonts w:ascii="Times New Roman" w:hAnsi="Times New Roman" w:cs="Times New Roman"/>
      <w:sz w:val="20"/>
      <w:szCs w:val="20"/>
      <w:lang w:val="hr-HR" w:eastAsia="hr-HR"/>
    </w:rPr>
  </w:style>
  <w:style w:type="character" w:customStyle="1" w:styleId="EndnoteTextChar">
    <w:name w:val="Endnote Text Char"/>
    <w:basedOn w:val="DefaultParagraphFont"/>
    <w:link w:val="EndnoteText"/>
    <w:uiPriority w:val="99"/>
    <w:semiHidden/>
    <w:rsid w:val="00742C89"/>
    <w:rPr>
      <w:rFonts w:ascii="Times New Roman" w:hAnsi="Times New Roman" w:cs="Times New Roman"/>
      <w:sz w:val="20"/>
      <w:szCs w:val="20"/>
      <w:lang w:val="hr-HR" w:eastAsia="hr-HR"/>
    </w:rPr>
  </w:style>
  <w:style w:type="table" w:customStyle="1" w:styleId="LightGrid1">
    <w:name w:val="Light Grid1"/>
    <w:basedOn w:val="TableNormal"/>
    <w:uiPriority w:val="62"/>
    <w:rsid w:val="007330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235DF5"/>
    <w:rPr>
      <w:b/>
      <w:bCs/>
    </w:rPr>
  </w:style>
  <w:style w:type="character" w:styleId="Emphasis">
    <w:name w:val="Emphasis"/>
    <w:basedOn w:val="DefaultParagraphFont"/>
    <w:uiPriority w:val="20"/>
    <w:qFormat/>
    <w:rsid w:val="008C3772"/>
    <w:rPr>
      <w:i/>
      <w:iCs/>
    </w:rPr>
  </w:style>
  <w:style w:type="paragraph" w:customStyle="1" w:styleId="bodytekst">
    <w:name w:val="body_tekst"/>
    <w:basedOn w:val="Normal"/>
    <w:uiPriority w:val="99"/>
    <w:rsid w:val="00D70654"/>
    <w:pPr>
      <w:keepLines/>
      <w:spacing w:after="57" w:line="180" w:lineRule="exact"/>
      <w:ind w:firstLine="283"/>
      <w:jc w:val="both"/>
    </w:pPr>
    <w:rPr>
      <w:rFonts w:ascii="Cir Times_New_Roman" w:eastAsia="Times New Roman" w:hAnsi="Cir Times_New_Roman" w:cs="Cir Times_New_Roman"/>
      <w:noProof/>
      <w:sz w:val="18"/>
      <w:szCs w:val="18"/>
    </w:rPr>
  </w:style>
  <w:style w:type="paragraph" w:customStyle="1" w:styleId="clanc">
    <w:name w:val="clan_c"/>
    <w:basedOn w:val="Normal"/>
    <w:uiPriority w:val="99"/>
    <w:rsid w:val="00D70654"/>
    <w:pPr>
      <w:keepNext/>
      <w:spacing w:before="57" w:after="57" w:line="240" w:lineRule="auto"/>
      <w:ind w:firstLine="720"/>
      <w:jc w:val="center"/>
    </w:pPr>
    <w:rPr>
      <w:rFonts w:ascii="Cir Times_New_Roman" w:eastAsia="Times New Roman" w:hAnsi="Cir Times_New_Roman" w:cs="Cir Times_New_Roman"/>
      <w:noProof/>
      <w:sz w:val="18"/>
      <w:szCs w:val="18"/>
    </w:rPr>
  </w:style>
  <w:style w:type="character" w:customStyle="1" w:styleId="Zakon-clanChar1">
    <w:name w:val="Zakon - clan Char1"/>
    <w:link w:val="Zakon-clan"/>
    <w:locked/>
    <w:rsid w:val="006563A1"/>
    <w:rPr>
      <w:b/>
      <w:bCs/>
      <w:sz w:val="24"/>
      <w:szCs w:val="24"/>
      <w:lang w:val="sr-Cyrl-CS"/>
    </w:rPr>
  </w:style>
  <w:style w:type="paragraph" w:customStyle="1" w:styleId="Zakon-clan">
    <w:name w:val="Zakon - clan"/>
    <w:link w:val="Zakon-clanChar1"/>
    <w:rsid w:val="006563A1"/>
    <w:pPr>
      <w:keepNext/>
      <w:keepLines/>
      <w:spacing w:after="0" w:line="240" w:lineRule="auto"/>
      <w:jc w:val="center"/>
    </w:pPr>
    <w:rPr>
      <w:b/>
      <w:bCs/>
      <w:sz w:val="24"/>
      <w:szCs w:val="24"/>
      <w:lang w:val="sr-Cyrl-CS"/>
    </w:rPr>
  </w:style>
  <w:style w:type="paragraph" w:styleId="NoSpacing">
    <w:name w:val="No Spacing"/>
    <w:uiPriority w:val="1"/>
    <w:qFormat/>
    <w:rsid w:val="006563A1"/>
    <w:pPr>
      <w:spacing w:after="0" w:line="240" w:lineRule="auto"/>
    </w:pPr>
  </w:style>
  <w:style w:type="paragraph" w:customStyle="1" w:styleId="Style4">
    <w:name w:val="Style4"/>
    <w:basedOn w:val="Normal"/>
    <w:uiPriority w:val="99"/>
    <w:rsid w:val="006563A1"/>
    <w:pPr>
      <w:widowControl w:val="0"/>
      <w:autoSpaceDE w:val="0"/>
      <w:autoSpaceDN w:val="0"/>
      <w:adjustRightInd w:val="0"/>
      <w:spacing w:after="0" w:line="240" w:lineRule="exact"/>
      <w:ind w:firstLine="293"/>
      <w:jc w:val="both"/>
    </w:pPr>
    <w:rPr>
      <w:rFonts w:ascii="Times New Roman" w:eastAsia="SimSun" w:hAnsi="Times New Roman" w:cs="Times New Roman"/>
      <w:sz w:val="24"/>
      <w:szCs w:val="24"/>
      <w:lang w:eastAsia="zh-CN"/>
    </w:rPr>
  </w:style>
  <w:style w:type="character" w:customStyle="1" w:styleId="FontStyle14">
    <w:name w:val="Font Style14"/>
    <w:uiPriority w:val="99"/>
    <w:rsid w:val="006563A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6D0D"/>
    <w:pPr>
      <w:keepNext/>
      <w:spacing w:after="0" w:line="240" w:lineRule="auto"/>
      <w:outlineLvl w:val="1"/>
    </w:pPr>
    <w:rPr>
      <w:rFonts w:ascii="Times New Roman" w:eastAsia="Times New Roman" w:hAnsi="Times New Roman" w:cs="Times New Roman"/>
      <w:b/>
      <w:bCs/>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1"/>
    <w:pPr>
      <w:ind w:left="720"/>
      <w:contextualSpacing/>
    </w:pPr>
  </w:style>
  <w:style w:type="paragraph" w:styleId="NormalWeb">
    <w:name w:val="Normal (Web)"/>
    <w:basedOn w:val="Normal"/>
    <w:uiPriority w:val="99"/>
    <w:unhideWhenUsed/>
    <w:rsid w:val="007B5BCC"/>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BB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A"/>
    <w:rPr>
      <w:rFonts w:ascii="Tahoma" w:hAnsi="Tahoma" w:cs="Tahoma"/>
      <w:sz w:val="16"/>
      <w:szCs w:val="16"/>
    </w:rPr>
  </w:style>
  <w:style w:type="table" w:customStyle="1" w:styleId="Muris">
    <w:name w:val="Muris"/>
    <w:basedOn w:val="TableTheme"/>
    <w:rsid w:val="00BB465A"/>
    <w:pPr>
      <w:spacing w:after="0" w:line="240" w:lineRule="auto"/>
      <w:jc w:val="center"/>
    </w:pPr>
    <w:rPr>
      <w:rFonts w:ascii="Arial" w:eastAsia="Times New Roman" w:hAnsi="Arial" w:cs="Times New Roman"/>
      <w:sz w:val="20"/>
      <w:szCs w:val="20"/>
      <w:lang w:eastAsia="bs-Latn-BA"/>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B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C6D0D"/>
    <w:rPr>
      <w:rFonts w:ascii="Times New Roman" w:eastAsia="Times New Roman" w:hAnsi="Times New Roman" w:cs="Times New Roman"/>
      <w:b/>
      <w:bCs/>
      <w:sz w:val="28"/>
      <w:szCs w:val="24"/>
      <w:lang w:val="sl-SI"/>
    </w:rPr>
  </w:style>
  <w:style w:type="character" w:customStyle="1" w:styleId="Heading1Char">
    <w:name w:val="Heading 1 Char"/>
    <w:basedOn w:val="DefaultParagraphFont"/>
    <w:link w:val="Heading1"/>
    <w:rsid w:val="005C6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06F"/>
  </w:style>
  <w:style w:type="paragraph" w:styleId="Footer">
    <w:name w:val="footer"/>
    <w:basedOn w:val="Normal"/>
    <w:link w:val="FooterChar"/>
    <w:uiPriority w:val="99"/>
    <w:unhideWhenUsed/>
    <w:rsid w:val="0077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06F"/>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B01CDC"/>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B01CDC"/>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B01CDC"/>
    <w:rPr>
      <w:vertAlign w:val="superscript"/>
    </w:rPr>
  </w:style>
  <w:style w:type="paragraph" w:customStyle="1" w:styleId="Default">
    <w:name w:val="Default"/>
    <w:rsid w:val="00807664"/>
    <w:pPr>
      <w:autoSpaceDE w:val="0"/>
      <w:autoSpaceDN w:val="0"/>
      <w:adjustRightInd w:val="0"/>
      <w:spacing w:after="0" w:line="240" w:lineRule="auto"/>
    </w:pPr>
    <w:rPr>
      <w:rFonts w:ascii="Calibri" w:hAnsi="Calibri" w:cs="Calibri"/>
      <w:color w:val="000000"/>
      <w:sz w:val="24"/>
      <w:szCs w:val="24"/>
    </w:rPr>
  </w:style>
  <w:style w:type="table" w:styleId="MediumShading1-Accent4">
    <w:name w:val="Medium Shading 1 Accent 4"/>
    <w:basedOn w:val="TableNormal"/>
    <w:uiPriority w:val="63"/>
    <w:rsid w:val="003E561B"/>
    <w:pPr>
      <w:spacing w:after="0" w:line="240" w:lineRule="auto"/>
    </w:pPr>
    <w:rPr>
      <w:rFonts w:ascii="Times New Roman" w:eastAsia="Times New Roman" w:hAnsi="Times New Roman" w:cs="Times New Roman"/>
      <w:sz w:val="20"/>
      <w:szCs w:val="20"/>
      <w:lang w:eastAsia="bs-Latn-B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2-Accent1">
    <w:name w:val="Medium List 2 Accent 1"/>
    <w:basedOn w:val="TableNormal"/>
    <w:uiPriority w:val="66"/>
    <w:rsid w:val="008C479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C929AB"/>
    <w:rPr>
      <w:color w:val="0000FF"/>
      <w:u w:val="single"/>
    </w:rPr>
  </w:style>
  <w:style w:type="paragraph" w:styleId="TOC1">
    <w:name w:val="toc 1"/>
    <w:basedOn w:val="Normal"/>
    <w:next w:val="Normal"/>
    <w:autoRedefine/>
    <w:uiPriority w:val="39"/>
    <w:rsid w:val="00C929AB"/>
    <w:pPr>
      <w:spacing w:after="0" w:line="240" w:lineRule="auto"/>
    </w:pPr>
    <w:rPr>
      <w:rFonts w:ascii="Times New Roman" w:eastAsia="Times New Roman" w:hAnsi="Times New Roman" w:cs="Times New Roman"/>
      <w:sz w:val="24"/>
      <w:szCs w:val="24"/>
      <w:lang w:val="hr-HR" w:eastAsia="hr-HR"/>
    </w:rPr>
  </w:style>
  <w:style w:type="table" w:customStyle="1" w:styleId="LightShading-Accent11">
    <w:name w:val="Light Shading - Accent 11"/>
    <w:basedOn w:val="TableNormal"/>
    <w:uiPriority w:val="60"/>
    <w:rsid w:val="00936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365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42C89"/>
    <w:pPr>
      <w:spacing w:after="0" w:line="240" w:lineRule="auto"/>
    </w:pPr>
    <w:rPr>
      <w:rFonts w:ascii="Times New Roman" w:hAnsi="Times New Roman" w:cs="Times New Roman"/>
      <w:sz w:val="20"/>
      <w:szCs w:val="20"/>
      <w:lang w:val="hr-HR" w:eastAsia="hr-HR"/>
    </w:rPr>
  </w:style>
  <w:style w:type="character" w:customStyle="1" w:styleId="EndnoteTextChar">
    <w:name w:val="Endnote Text Char"/>
    <w:basedOn w:val="DefaultParagraphFont"/>
    <w:link w:val="EndnoteText"/>
    <w:uiPriority w:val="99"/>
    <w:semiHidden/>
    <w:rsid w:val="00742C89"/>
    <w:rPr>
      <w:rFonts w:ascii="Times New Roman" w:hAnsi="Times New Roman" w:cs="Times New Roman"/>
      <w:sz w:val="20"/>
      <w:szCs w:val="20"/>
      <w:lang w:val="hr-HR" w:eastAsia="hr-HR"/>
    </w:rPr>
  </w:style>
  <w:style w:type="table" w:customStyle="1" w:styleId="LightGrid1">
    <w:name w:val="Light Grid1"/>
    <w:basedOn w:val="TableNormal"/>
    <w:uiPriority w:val="62"/>
    <w:rsid w:val="007330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235DF5"/>
    <w:rPr>
      <w:b/>
      <w:bCs/>
    </w:rPr>
  </w:style>
  <w:style w:type="character" w:styleId="Emphasis">
    <w:name w:val="Emphasis"/>
    <w:basedOn w:val="DefaultParagraphFont"/>
    <w:uiPriority w:val="20"/>
    <w:qFormat/>
    <w:rsid w:val="008C3772"/>
    <w:rPr>
      <w:i/>
      <w:iCs/>
    </w:rPr>
  </w:style>
  <w:style w:type="paragraph" w:customStyle="1" w:styleId="bodytekst">
    <w:name w:val="body_tekst"/>
    <w:basedOn w:val="Normal"/>
    <w:uiPriority w:val="99"/>
    <w:rsid w:val="00D70654"/>
    <w:pPr>
      <w:keepLines/>
      <w:spacing w:after="57" w:line="180" w:lineRule="exact"/>
      <w:ind w:firstLine="283"/>
      <w:jc w:val="both"/>
    </w:pPr>
    <w:rPr>
      <w:rFonts w:ascii="Cir Times_New_Roman" w:eastAsia="Times New Roman" w:hAnsi="Cir Times_New_Roman" w:cs="Cir Times_New_Roman"/>
      <w:noProof/>
      <w:sz w:val="18"/>
      <w:szCs w:val="18"/>
    </w:rPr>
  </w:style>
  <w:style w:type="paragraph" w:customStyle="1" w:styleId="clanc">
    <w:name w:val="clan_c"/>
    <w:basedOn w:val="Normal"/>
    <w:uiPriority w:val="99"/>
    <w:rsid w:val="00D70654"/>
    <w:pPr>
      <w:keepNext/>
      <w:spacing w:before="57" w:after="57" w:line="240" w:lineRule="auto"/>
      <w:ind w:firstLine="720"/>
      <w:jc w:val="center"/>
    </w:pPr>
    <w:rPr>
      <w:rFonts w:ascii="Cir Times_New_Roman" w:eastAsia="Times New Roman" w:hAnsi="Cir Times_New_Roman" w:cs="Cir Times_New_Roman"/>
      <w:noProof/>
      <w:sz w:val="18"/>
      <w:szCs w:val="18"/>
    </w:rPr>
  </w:style>
  <w:style w:type="character" w:customStyle="1" w:styleId="Zakon-clanChar1">
    <w:name w:val="Zakon - clan Char1"/>
    <w:link w:val="Zakon-clan"/>
    <w:locked/>
    <w:rsid w:val="006563A1"/>
    <w:rPr>
      <w:b/>
      <w:bCs/>
      <w:sz w:val="24"/>
      <w:szCs w:val="24"/>
      <w:lang w:val="sr-Cyrl-CS"/>
    </w:rPr>
  </w:style>
  <w:style w:type="paragraph" w:customStyle="1" w:styleId="Zakon-clan">
    <w:name w:val="Zakon - clan"/>
    <w:link w:val="Zakon-clanChar1"/>
    <w:rsid w:val="006563A1"/>
    <w:pPr>
      <w:keepNext/>
      <w:keepLines/>
      <w:spacing w:after="0" w:line="240" w:lineRule="auto"/>
      <w:jc w:val="center"/>
    </w:pPr>
    <w:rPr>
      <w:b/>
      <w:bCs/>
      <w:sz w:val="24"/>
      <w:szCs w:val="24"/>
      <w:lang w:val="sr-Cyrl-CS"/>
    </w:rPr>
  </w:style>
  <w:style w:type="paragraph" w:styleId="NoSpacing">
    <w:name w:val="No Spacing"/>
    <w:uiPriority w:val="1"/>
    <w:qFormat/>
    <w:rsid w:val="006563A1"/>
    <w:pPr>
      <w:spacing w:after="0" w:line="240" w:lineRule="auto"/>
    </w:pPr>
  </w:style>
  <w:style w:type="paragraph" w:customStyle="1" w:styleId="Style4">
    <w:name w:val="Style4"/>
    <w:basedOn w:val="Normal"/>
    <w:uiPriority w:val="99"/>
    <w:rsid w:val="006563A1"/>
    <w:pPr>
      <w:widowControl w:val="0"/>
      <w:autoSpaceDE w:val="0"/>
      <w:autoSpaceDN w:val="0"/>
      <w:adjustRightInd w:val="0"/>
      <w:spacing w:after="0" w:line="240" w:lineRule="exact"/>
      <w:ind w:firstLine="293"/>
      <w:jc w:val="both"/>
    </w:pPr>
    <w:rPr>
      <w:rFonts w:ascii="Times New Roman" w:eastAsia="SimSun" w:hAnsi="Times New Roman" w:cs="Times New Roman"/>
      <w:sz w:val="24"/>
      <w:szCs w:val="24"/>
      <w:lang w:eastAsia="zh-CN"/>
    </w:rPr>
  </w:style>
  <w:style w:type="character" w:customStyle="1" w:styleId="FontStyle14">
    <w:name w:val="Font Style14"/>
    <w:uiPriority w:val="99"/>
    <w:rsid w:val="006563A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6540">
      <w:bodyDiv w:val="1"/>
      <w:marLeft w:val="0"/>
      <w:marRight w:val="0"/>
      <w:marTop w:val="0"/>
      <w:marBottom w:val="0"/>
      <w:divBdr>
        <w:top w:val="none" w:sz="0" w:space="0" w:color="auto"/>
        <w:left w:val="none" w:sz="0" w:space="0" w:color="auto"/>
        <w:bottom w:val="none" w:sz="0" w:space="0" w:color="auto"/>
        <w:right w:val="none" w:sz="0" w:space="0" w:color="auto"/>
      </w:divBdr>
    </w:div>
    <w:div w:id="9907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s-Latn-BA" sz="1400"/>
              <a:t>Realizacija zakonodavnog dijela Programa rada </a:t>
            </a:r>
            <a:r>
              <a:rPr lang="bs-Latn-BA" sz="1400">
                <a:solidFill>
                  <a:srgbClr val="000000"/>
                </a:solidFill>
              </a:rPr>
              <a:t>NS RS</a:t>
            </a:r>
            <a:r>
              <a:rPr lang="bs-Latn-BA" sz="1400" b="1" i="0" u="none" strike="noStrike" baseline="0">
                <a:effectLst/>
              </a:rPr>
              <a:t>, do</a:t>
            </a:r>
            <a:r>
              <a:rPr lang="bs-Latn-BA" sz="1400" b="1" i="0" u="none" strike="noStrike" baseline="0">
                <a:solidFill>
                  <a:srgbClr val="000000"/>
                </a:solidFill>
                <a:effectLst/>
              </a:rPr>
              <a:t> 30.09.2015 </a:t>
            </a:r>
            <a:endParaRPr lang="bs-Latn-BA" sz="1400"/>
          </a:p>
          <a:p>
            <a:pPr>
              <a:defRPr lang="en-US"/>
            </a:pPr>
            <a:endParaRPr lang="bs-Latn-BA" sz="1400"/>
          </a:p>
        </c:rich>
      </c:tx>
      <c:layout>
        <c:manualLayout>
          <c:xMode val="edge"/>
          <c:yMode val="edge"/>
          <c:x val="0.12845457231753316"/>
          <c:y val="4.2979849293031863E-2"/>
        </c:manualLayout>
      </c:layout>
      <c:overlay val="0"/>
    </c:title>
    <c:autoTitleDeleted val="0"/>
    <c:plotArea>
      <c:layout>
        <c:manualLayout>
          <c:layoutTarget val="inner"/>
          <c:xMode val="edge"/>
          <c:yMode val="edge"/>
          <c:x val="0.35251620865272637"/>
          <c:y val="0.24652654305308611"/>
          <c:w val="0.29631520397698674"/>
          <c:h val="0.72167090000846745"/>
        </c:manualLayout>
      </c:layout>
      <c:doughnutChart>
        <c:varyColors val="1"/>
        <c:ser>
          <c:idx val="0"/>
          <c:order val="0"/>
          <c:explosion val="10"/>
          <c:dLbls>
            <c:dLbl>
              <c:idx val="0"/>
              <c:layout>
                <c:manualLayout>
                  <c:x val="6.956879563152743E-2"/>
                  <c:y val="-6.3798447958233029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9.1919486885331289E-2"/>
                  <c:y val="7.9450088900177823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8.1395348837209655E-2"/>
                  <c:y val="3.7037037037037056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lang="en-US" sz="11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Sheet12!$C$7:$C$9</c:f>
              <c:strCache>
                <c:ptCount val="3"/>
                <c:pt idx="0">
                  <c:v>Usvojeno u prijedlogu</c:v>
                </c:pt>
                <c:pt idx="1">
                  <c:v>Prihvaćeno u nacrtu</c:v>
                </c:pt>
                <c:pt idx="2">
                  <c:v>Nerealizovano</c:v>
                </c:pt>
              </c:strCache>
            </c:strRef>
          </c:cat>
          <c:val>
            <c:numRef>
              <c:f>Sheet12!$D$7:$D$9</c:f>
              <c:numCache>
                <c:formatCode>General</c:formatCode>
                <c:ptCount val="3"/>
                <c:pt idx="0">
                  <c:v>23</c:v>
                </c:pt>
                <c:pt idx="1">
                  <c:v>17</c:v>
                </c:pt>
                <c:pt idx="2">
                  <c:v>54</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73725643566077503"/>
          <c:y val="0.26686975902954163"/>
          <c:w val="0.2377924944812366"/>
          <c:h val="0.47611844890356447"/>
        </c:manualLayout>
      </c:layout>
      <c:overlay val="0"/>
      <c:txPr>
        <a:bodyPr/>
        <a:lstStyle/>
        <a:p>
          <a:pPr>
            <a:defRPr lang="en-US" sz="1100"/>
          </a:pPr>
          <a:endParaRPr lang="en-US"/>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solidFill>
                  <a:sysClr val="windowText" lastClr="000000"/>
                </a:solidFill>
              </a:defRPr>
            </a:pPr>
            <a:r>
              <a:rPr lang="bs-Latn-BA" sz="1400" b="1" i="0" baseline="0">
                <a:solidFill>
                  <a:sysClr val="windowText" lastClr="000000"/>
                </a:solidFill>
                <a:effectLst/>
              </a:rPr>
              <a:t>Devetomjesečna  realizacija zakonodavnog dijela Programa rada NS RS  , po godinama</a:t>
            </a:r>
            <a:endParaRPr lang="bs-Latn-BA" sz="1400">
              <a:solidFill>
                <a:sysClr val="windowText" lastClr="000000"/>
              </a:solidFill>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Sheet15!$D$26</c:f>
              <c:strCache>
                <c:ptCount val="1"/>
                <c:pt idx="0">
                  <c:v>Godišnji plan</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Sheet15!$C$27:$C$33</c:f>
              <c:strCache>
                <c:ptCount val="5"/>
                <c:pt idx="0">
                  <c:v>2011.</c:v>
                </c:pt>
                <c:pt idx="1">
                  <c:v>2012.</c:v>
                </c:pt>
                <c:pt idx="2">
                  <c:v>2013.</c:v>
                </c:pt>
                <c:pt idx="3">
                  <c:v>2014.</c:v>
                </c:pt>
                <c:pt idx="4">
                  <c:v>2015.</c:v>
                </c:pt>
              </c:strCache>
            </c:strRef>
          </c:cat>
          <c:val>
            <c:numRef>
              <c:f>Sheet15!$D$27:$D$33</c:f>
              <c:numCache>
                <c:formatCode>General</c:formatCode>
                <c:ptCount val="5"/>
                <c:pt idx="0">
                  <c:v>101</c:v>
                </c:pt>
                <c:pt idx="1">
                  <c:v>80</c:v>
                </c:pt>
                <c:pt idx="2">
                  <c:v>82</c:v>
                </c:pt>
                <c:pt idx="3">
                  <c:v>58</c:v>
                </c:pt>
                <c:pt idx="4">
                  <c:v>94</c:v>
                </c:pt>
              </c:numCache>
            </c:numRef>
          </c:val>
        </c:ser>
        <c:ser>
          <c:idx val="1"/>
          <c:order val="1"/>
          <c:tx>
            <c:strRef>
              <c:f>Sheet15!$E$26</c:f>
              <c:strCache>
                <c:ptCount val="1"/>
                <c:pt idx="0">
                  <c:v>Potpuna realizacija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Sheet15!$C$27:$C$33</c:f>
              <c:strCache>
                <c:ptCount val="5"/>
                <c:pt idx="0">
                  <c:v>2011.</c:v>
                </c:pt>
                <c:pt idx="1">
                  <c:v>2012.</c:v>
                </c:pt>
                <c:pt idx="2">
                  <c:v>2013.</c:v>
                </c:pt>
                <c:pt idx="3">
                  <c:v>2014.</c:v>
                </c:pt>
                <c:pt idx="4">
                  <c:v>2015.</c:v>
                </c:pt>
              </c:strCache>
            </c:strRef>
          </c:cat>
          <c:val>
            <c:numRef>
              <c:f>Sheet15!$E$27:$E$33</c:f>
              <c:numCache>
                <c:formatCode>General</c:formatCode>
                <c:ptCount val="5"/>
                <c:pt idx="0">
                  <c:v>34</c:v>
                </c:pt>
                <c:pt idx="1">
                  <c:v>26</c:v>
                </c:pt>
                <c:pt idx="2">
                  <c:v>36</c:v>
                </c:pt>
                <c:pt idx="3">
                  <c:v>19</c:v>
                </c:pt>
                <c:pt idx="4">
                  <c:v>23</c:v>
                </c:pt>
              </c:numCache>
            </c:numRef>
          </c:val>
        </c:ser>
        <c:ser>
          <c:idx val="2"/>
          <c:order val="2"/>
          <c:tx>
            <c:strRef>
              <c:f>Sheet15!$F$26</c:f>
              <c:strCache>
                <c:ptCount val="1"/>
                <c:pt idx="0">
                  <c:v>Djelimična realizacija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Sheet15!$C$27:$C$33</c:f>
              <c:strCache>
                <c:ptCount val="5"/>
                <c:pt idx="0">
                  <c:v>2011.</c:v>
                </c:pt>
                <c:pt idx="1">
                  <c:v>2012.</c:v>
                </c:pt>
                <c:pt idx="2">
                  <c:v>2013.</c:v>
                </c:pt>
                <c:pt idx="3">
                  <c:v>2014.</c:v>
                </c:pt>
                <c:pt idx="4">
                  <c:v>2015.</c:v>
                </c:pt>
              </c:strCache>
            </c:strRef>
          </c:cat>
          <c:val>
            <c:numRef>
              <c:f>Sheet15!$F$27:$F$33</c:f>
              <c:numCache>
                <c:formatCode>General</c:formatCode>
                <c:ptCount val="5"/>
                <c:pt idx="0">
                  <c:v>16</c:v>
                </c:pt>
                <c:pt idx="1">
                  <c:v>11</c:v>
                </c:pt>
                <c:pt idx="2">
                  <c:v>14</c:v>
                </c:pt>
                <c:pt idx="3">
                  <c:v>2</c:v>
                </c:pt>
                <c:pt idx="4">
                  <c:v>17</c:v>
                </c:pt>
              </c:numCache>
            </c:numRef>
          </c:val>
        </c:ser>
        <c:dLbls>
          <c:showLegendKey val="0"/>
          <c:showVal val="1"/>
          <c:showCatName val="0"/>
          <c:showSerName val="0"/>
          <c:showPercent val="0"/>
          <c:showBubbleSize val="0"/>
        </c:dLbls>
        <c:gapWidth val="150"/>
        <c:shape val="cylinder"/>
        <c:axId val="184521216"/>
        <c:axId val="192923328"/>
        <c:axId val="0"/>
      </c:bar3DChart>
      <c:catAx>
        <c:axId val="184521216"/>
        <c:scaling>
          <c:orientation val="minMax"/>
        </c:scaling>
        <c:delete val="0"/>
        <c:axPos val="b"/>
        <c:numFmt formatCode="General" sourceLinked="0"/>
        <c:majorTickMark val="none"/>
        <c:minorTickMark val="none"/>
        <c:tickLblPos val="nextTo"/>
        <c:txPr>
          <a:bodyPr/>
          <a:lstStyle/>
          <a:p>
            <a:pPr>
              <a:defRPr lang="en-US" b="1"/>
            </a:pPr>
            <a:endParaRPr lang="en-US"/>
          </a:p>
        </c:txPr>
        <c:crossAx val="192923328"/>
        <c:crosses val="autoZero"/>
        <c:auto val="1"/>
        <c:lblAlgn val="ctr"/>
        <c:lblOffset val="100"/>
        <c:noMultiLvlLbl val="0"/>
      </c:catAx>
      <c:valAx>
        <c:axId val="192923328"/>
        <c:scaling>
          <c:orientation val="minMax"/>
        </c:scaling>
        <c:delete val="1"/>
        <c:axPos val="l"/>
        <c:numFmt formatCode="General" sourceLinked="1"/>
        <c:majorTickMark val="out"/>
        <c:minorTickMark val="none"/>
        <c:tickLblPos val="nextTo"/>
        <c:crossAx val="184521216"/>
        <c:crosses val="autoZero"/>
        <c:crossBetween val="between"/>
      </c:valAx>
    </c:plotArea>
    <c:legend>
      <c:legendPos val="t"/>
      <c:overlay val="0"/>
      <c:txPr>
        <a:bodyPr/>
        <a:lstStyle/>
        <a:p>
          <a:pPr>
            <a:defRPr lang="en-US" sz="1100" b="1"/>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s-Latn-BA" sz="1400" b="1" i="0" baseline="0">
                <a:effectLst/>
              </a:rPr>
              <a:t>Devetomjesečna  realizacija zakonodavnog dijela programa rada NS RS  , po godinama</a:t>
            </a:r>
            <a:endParaRPr lang="bs-Latn-BA" sz="1400">
              <a:effectLst/>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Sheet15!$D$99</c:f>
              <c:strCache>
                <c:ptCount val="1"/>
                <c:pt idx="0">
                  <c:v>% potpune realizacije</c:v>
                </c:pt>
              </c:strCache>
            </c:strRef>
          </c:tx>
          <c:invertIfNegative val="0"/>
          <c:dLbls>
            <c:dLbl>
              <c:idx val="4"/>
              <c:tx>
                <c:rich>
                  <a:bodyPr/>
                  <a:lstStyle/>
                  <a:p>
                    <a:pPr>
                      <a:defRPr lang="en-US"/>
                    </a:pPr>
                    <a:r>
                      <a:rPr lang="en-US"/>
                      <a:t>34%</a:t>
                    </a:r>
                  </a:p>
                </c:rich>
              </c:tx>
              <c:numFmt formatCode="@" sourceLinked="0"/>
              <c:spPr/>
              <c:showLegendKey val="0"/>
              <c:showVal val="1"/>
              <c:showCatName val="0"/>
              <c:showSerName val="0"/>
              <c:showPercent val="0"/>
              <c:showBubbleSize val="0"/>
              <c:separator>.</c:separator>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Sheet15!$C$100:$C$107</c:f>
              <c:strCache>
                <c:ptCount val="5"/>
                <c:pt idx="0">
                  <c:v>2015.</c:v>
                </c:pt>
                <c:pt idx="1">
                  <c:v>2014.</c:v>
                </c:pt>
                <c:pt idx="2">
                  <c:v>2013.</c:v>
                </c:pt>
                <c:pt idx="3">
                  <c:v>2012.</c:v>
                </c:pt>
                <c:pt idx="4">
                  <c:v>2011.</c:v>
                </c:pt>
              </c:strCache>
            </c:strRef>
          </c:cat>
          <c:val>
            <c:numRef>
              <c:f>Sheet15!$D$100:$D$107</c:f>
              <c:numCache>
                <c:formatCode>0%</c:formatCode>
                <c:ptCount val="5"/>
                <c:pt idx="0">
                  <c:v>0.244680851064</c:v>
                </c:pt>
                <c:pt idx="1">
                  <c:v>0.3275862068970008</c:v>
                </c:pt>
                <c:pt idx="2">
                  <c:v>0.4390243902440007</c:v>
                </c:pt>
                <c:pt idx="3">
                  <c:v>0.3250000000000004</c:v>
                </c:pt>
                <c:pt idx="4">
                  <c:v>0.33663366336600048</c:v>
                </c:pt>
              </c:numCache>
            </c:numRef>
          </c:val>
        </c:ser>
        <c:ser>
          <c:idx val="1"/>
          <c:order val="1"/>
          <c:tx>
            <c:strRef>
              <c:f>Sheet15!$E$99</c:f>
              <c:strCache>
                <c:ptCount val="1"/>
                <c:pt idx="0">
                  <c:v>% djelimične realizacije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Sheet15!$C$100:$C$107</c:f>
              <c:strCache>
                <c:ptCount val="5"/>
                <c:pt idx="0">
                  <c:v>2015.</c:v>
                </c:pt>
                <c:pt idx="1">
                  <c:v>2014.</c:v>
                </c:pt>
                <c:pt idx="2">
                  <c:v>2013.</c:v>
                </c:pt>
                <c:pt idx="3">
                  <c:v>2012.</c:v>
                </c:pt>
                <c:pt idx="4">
                  <c:v>2011.</c:v>
                </c:pt>
              </c:strCache>
            </c:strRef>
          </c:cat>
          <c:val>
            <c:numRef>
              <c:f>Sheet15!$E$100:$E$107</c:f>
              <c:numCache>
                <c:formatCode>0%</c:formatCode>
                <c:ptCount val="5"/>
                <c:pt idx="0">
                  <c:v>0.18085106382999999</c:v>
                </c:pt>
                <c:pt idx="1">
                  <c:v>3.4482758620700014E-2</c:v>
                </c:pt>
                <c:pt idx="2">
                  <c:v>0.17073170731699999</c:v>
                </c:pt>
                <c:pt idx="3">
                  <c:v>0.13750000000000001</c:v>
                </c:pt>
                <c:pt idx="4">
                  <c:v>0.15841584158400043</c:v>
                </c:pt>
              </c:numCache>
            </c:numRef>
          </c:val>
        </c:ser>
        <c:ser>
          <c:idx val="2"/>
          <c:order val="2"/>
          <c:tx>
            <c:strRef>
              <c:f>Sheet15!$F$99</c:f>
              <c:strCache>
                <c:ptCount val="1"/>
                <c:pt idx="0">
                  <c:v>% nerealizovanog nikako</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Sheet15!$C$100:$C$107</c:f>
              <c:strCache>
                <c:ptCount val="5"/>
                <c:pt idx="0">
                  <c:v>2015.</c:v>
                </c:pt>
                <c:pt idx="1">
                  <c:v>2014.</c:v>
                </c:pt>
                <c:pt idx="2">
                  <c:v>2013.</c:v>
                </c:pt>
                <c:pt idx="3">
                  <c:v>2012.</c:v>
                </c:pt>
                <c:pt idx="4">
                  <c:v>2011.</c:v>
                </c:pt>
              </c:strCache>
            </c:strRef>
          </c:cat>
          <c:val>
            <c:numRef>
              <c:f>Sheet15!$F$100:$F$107</c:f>
              <c:numCache>
                <c:formatCode>0%</c:formatCode>
                <c:ptCount val="5"/>
                <c:pt idx="0">
                  <c:v>0.57446808510599956</c:v>
                </c:pt>
                <c:pt idx="1">
                  <c:v>0.6379310344830017</c:v>
                </c:pt>
                <c:pt idx="2">
                  <c:v>0.39024390243899976</c:v>
                </c:pt>
                <c:pt idx="3">
                  <c:v>0.53749999999999998</c:v>
                </c:pt>
                <c:pt idx="4">
                  <c:v>0.50495049505</c:v>
                </c:pt>
              </c:numCache>
            </c:numRef>
          </c:val>
        </c:ser>
        <c:dLbls>
          <c:showLegendKey val="0"/>
          <c:showVal val="1"/>
          <c:showCatName val="0"/>
          <c:showSerName val="0"/>
          <c:showPercent val="0"/>
          <c:showBubbleSize val="0"/>
        </c:dLbls>
        <c:gapWidth val="95"/>
        <c:gapDepth val="95"/>
        <c:shape val="box"/>
        <c:axId val="192810496"/>
        <c:axId val="192925056"/>
        <c:axId val="0"/>
      </c:bar3DChart>
      <c:catAx>
        <c:axId val="192810496"/>
        <c:scaling>
          <c:orientation val="minMax"/>
        </c:scaling>
        <c:delete val="0"/>
        <c:axPos val="l"/>
        <c:numFmt formatCode="General" sourceLinked="0"/>
        <c:majorTickMark val="none"/>
        <c:minorTickMark val="none"/>
        <c:tickLblPos val="nextTo"/>
        <c:txPr>
          <a:bodyPr/>
          <a:lstStyle/>
          <a:p>
            <a:pPr>
              <a:defRPr lang="en-US"/>
            </a:pPr>
            <a:endParaRPr lang="en-US"/>
          </a:p>
        </c:txPr>
        <c:crossAx val="192925056"/>
        <c:crosses val="autoZero"/>
        <c:auto val="1"/>
        <c:lblAlgn val="ctr"/>
        <c:lblOffset val="100"/>
        <c:noMultiLvlLbl val="0"/>
      </c:catAx>
      <c:valAx>
        <c:axId val="192925056"/>
        <c:scaling>
          <c:orientation val="minMax"/>
        </c:scaling>
        <c:delete val="1"/>
        <c:axPos val="b"/>
        <c:numFmt formatCode="0%" sourceLinked="1"/>
        <c:majorTickMark val="out"/>
        <c:minorTickMark val="none"/>
        <c:tickLblPos val="nextTo"/>
        <c:crossAx val="192810496"/>
        <c:crosses val="autoZero"/>
        <c:crossBetween val="between"/>
      </c:valAx>
    </c:plotArea>
    <c:legend>
      <c:legendPos val="t"/>
      <c:overlay val="0"/>
      <c:txPr>
        <a:bodyPr/>
        <a:lstStyle/>
        <a:p>
          <a:pPr>
            <a:defRPr lang="en-US" b="1"/>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solidFill>
                  <a:sysClr val="windowText" lastClr="000000"/>
                </a:solidFill>
              </a:defRPr>
            </a:pPr>
            <a:r>
              <a:rPr lang="bs-Latn-BA" sz="1400">
                <a:solidFill>
                  <a:sysClr val="windowText" lastClr="000000"/>
                </a:solidFill>
              </a:rPr>
              <a:t>"Prenešeni "</a:t>
            </a:r>
            <a:r>
              <a:rPr lang="bs-Latn-BA" sz="1400" baseline="0">
                <a:solidFill>
                  <a:sysClr val="windowText" lastClr="000000"/>
                </a:solidFill>
              </a:rPr>
              <a:t>i novi zakoni u Programu rada NS RS   za 2015 . i njihova realizacija u periodu 01.01.2015-30.09.2015 </a:t>
            </a:r>
            <a:endParaRPr lang="bs-Latn-BA" sz="1400">
              <a:solidFill>
                <a:sysClr val="windowText" lastClr="0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Sheet33!$D$5</c:f>
              <c:strCache>
                <c:ptCount val="1"/>
                <c:pt idx="0">
                  <c:v>Planirani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Sheet33!$C$6:$C$7</c:f>
              <c:strCache>
                <c:ptCount val="2"/>
                <c:pt idx="0">
                  <c:v>Prenešeni zakoni</c:v>
                </c:pt>
                <c:pt idx="1">
                  <c:v>Novi zakoni</c:v>
                </c:pt>
              </c:strCache>
            </c:strRef>
          </c:cat>
          <c:val>
            <c:numRef>
              <c:f>Sheet33!$D$6:$D$7</c:f>
              <c:numCache>
                <c:formatCode>General</c:formatCode>
                <c:ptCount val="2"/>
                <c:pt idx="0">
                  <c:v>29</c:v>
                </c:pt>
                <c:pt idx="1">
                  <c:v>65</c:v>
                </c:pt>
              </c:numCache>
            </c:numRef>
          </c:val>
        </c:ser>
        <c:ser>
          <c:idx val="1"/>
          <c:order val="1"/>
          <c:tx>
            <c:strRef>
              <c:f>Sheet33!$E$5</c:f>
              <c:strCache>
                <c:ptCount val="1"/>
                <c:pt idx="0">
                  <c:v>Usvojeni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Sheet33!$C$6:$C$7</c:f>
              <c:strCache>
                <c:ptCount val="2"/>
                <c:pt idx="0">
                  <c:v>Prenešeni zakoni</c:v>
                </c:pt>
                <c:pt idx="1">
                  <c:v>Novi zakoni</c:v>
                </c:pt>
              </c:strCache>
            </c:strRef>
          </c:cat>
          <c:val>
            <c:numRef>
              <c:f>Sheet33!$E$6:$E$7</c:f>
              <c:numCache>
                <c:formatCode>General</c:formatCode>
                <c:ptCount val="2"/>
                <c:pt idx="0">
                  <c:v>11</c:v>
                </c:pt>
                <c:pt idx="1">
                  <c:v>12</c:v>
                </c:pt>
              </c:numCache>
            </c:numRef>
          </c:val>
        </c:ser>
        <c:ser>
          <c:idx val="2"/>
          <c:order val="2"/>
          <c:tx>
            <c:strRef>
              <c:f>Sheet33!$F$5</c:f>
              <c:strCache>
                <c:ptCount val="1"/>
                <c:pt idx="0">
                  <c:v>U proceduri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Sheet33!$C$6:$C$7</c:f>
              <c:strCache>
                <c:ptCount val="2"/>
                <c:pt idx="0">
                  <c:v>Prenešeni zakoni</c:v>
                </c:pt>
                <c:pt idx="1">
                  <c:v>Novi zakoni</c:v>
                </c:pt>
              </c:strCache>
            </c:strRef>
          </c:cat>
          <c:val>
            <c:numRef>
              <c:f>Sheet33!$F$6:$F$7</c:f>
              <c:numCache>
                <c:formatCode>General</c:formatCode>
                <c:ptCount val="2"/>
                <c:pt idx="0">
                  <c:v>6</c:v>
                </c:pt>
                <c:pt idx="1">
                  <c:v>11</c:v>
                </c:pt>
              </c:numCache>
            </c:numRef>
          </c:val>
        </c:ser>
        <c:ser>
          <c:idx val="3"/>
          <c:order val="3"/>
          <c:tx>
            <c:strRef>
              <c:f>Sheet33!$G$5</c:f>
              <c:strCache>
                <c:ptCount val="1"/>
                <c:pt idx="0">
                  <c:v>Nerealizovani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Sheet33!$C$6:$C$7</c:f>
              <c:strCache>
                <c:ptCount val="2"/>
                <c:pt idx="0">
                  <c:v>Prenešeni zakoni</c:v>
                </c:pt>
                <c:pt idx="1">
                  <c:v>Novi zakoni</c:v>
                </c:pt>
              </c:strCache>
            </c:strRef>
          </c:cat>
          <c:val>
            <c:numRef>
              <c:f>Sheet33!$G$6:$G$7</c:f>
              <c:numCache>
                <c:formatCode>General</c:formatCode>
                <c:ptCount val="2"/>
                <c:pt idx="0">
                  <c:v>12</c:v>
                </c:pt>
                <c:pt idx="1">
                  <c:v>42</c:v>
                </c:pt>
              </c:numCache>
            </c:numRef>
          </c:val>
        </c:ser>
        <c:dLbls>
          <c:showLegendKey val="0"/>
          <c:showVal val="1"/>
          <c:showCatName val="0"/>
          <c:showSerName val="0"/>
          <c:showPercent val="0"/>
          <c:showBubbleSize val="0"/>
        </c:dLbls>
        <c:gapWidth val="150"/>
        <c:shape val="box"/>
        <c:axId val="193225728"/>
        <c:axId val="192926784"/>
        <c:axId val="0"/>
      </c:bar3DChart>
      <c:catAx>
        <c:axId val="193225728"/>
        <c:scaling>
          <c:orientation val="minMax"/>
        </c:scaling>
        <c:delete val="0"/>
        <c:axPos val="b"/>
        <c:numFmt formatCode="General" sourceLinked="0"/>
        <c:majorTickMark val="none"/>
        <c:minorTickMark val="none"/>
        <c:tickLblPos val="nextTo"/>
        <c:txPr>
          <a:bodyPr/>
          <a:lstStyle/>
          <a:p>
            <a:pPr>
              <a:defRPr lang="en-US"/>
            </a:pPr>
            <a:endParaRPr lang="en-US"/>
          </a:p>
        </c:txPr>
        <c:crossAx val="192926784"/>
        <c:crosses val="autoZero"/>
        <c:auto val="1"/>
        <c:lblAlgn val="ctr"/>
        <c:lblOffset val="100"/>
        <c:noMultiLvlLbl val="0"/>
      </c:catAx>
      <c:valAx>
        <c:axId val="192926784"/>
        <c:scaling>
          <c:orientation val="minMax"/>
        </c:scaling>
        <c:delete val="1"/>
        <c:axPos val="l"/>
        <c:numFmt formatCode="General" sourceLinked="1"/>
        <c:majorTickMark val="out"/>
        <c:minorTickMark val="none"/>
        <c:tickLblPos val="nextTo"/>
        <c:crossAx val="193225728"/>
        <c:crosses val="autoZero"/>
        <c:crossBetween val="between"/>
      </c:valAx>
    </c:plotArea>
    <c:legend>
      <c:legendPos val="t"/>
      <c:overlay val="0"/>
      <c:txPr>
        <a:bodyPr/>
        <a:lstStyle/>
        <a:p>
          <a:pPr>
            <a:defRPr lang="en-US"/>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s-Latn-BA" sz="1400" b="1" i="0" u="none" strike="noStrike" baseline="0">
                <a:effectLst/>
              </a:rPr>
              <a:t>"Prenešeni" i novi zakoni u programima rada NS RS  , po godinama </a:t>
            </a:r>
            <a:endParaRPr lang="bs-Latn-BA"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Sheet33!$D$24</c:f>
              <c:strCache>
                <c:ptCount val="1"/>
                <c:pt idx="0">
                  <c:v>Prenešeni zakoni</c:v>
                </c:pt>
              </c:strCache>
            </c:strRef>
          </c:tx>
          <c:invertIfNegative val="0"/>
          <c:dLbls>
            <c:dLbl>
              <c:idx val="4"/>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Sheet33!$C$25:$C$32</c:f>
              <c:strCache>
                <c:ptCount val="5"/>
                <c:pt idx="0">
                  <c:v>2011.</c:v>
                </c:pt>
                <c:pt idx="1">
                  <c:v>2012.</c:v>
                </c:pt>
                <c:pt idx="2">
                  <c:v>2013.</c:v>
                </c:pt>
                <c:pt idx="3">
                  <c:v>2014.</c:v>
                </c:pt>
                <c:pt idx="4">
                  <c:v>2015.</c:v>
                </c:pt>
              </c:strCache>
            </c:strRef>
          </c:cat>
          <c:val>
            <c:numRef>
              <c:f>Sheet33!$D$25:$D$32</c:f>
              <c:numCache>
                <c:formatCode>General</c:formatCode>
                <c:ptCount val="5"/>
                <c:pt idx="0">
                  <c:v>8</c:v>
                </c:pt>
                <c:pt idx="1">
                  <c:v>7</c:v>
                </c:pt>
                <c:pt idx="2">
                  <c:v>18</c:v>
                </c:pt>
                <c:pt idx="3">
                  <c:v>20</c:v>
                </c:pt>
                <c:pt idx="4">
                  <c:v>30</c:v>
                </c:pt>
              </c:numCache>
            </c:numRef>
          </c:val>
        </c:ser>
        <c:ser>
          <c:idx val="1"/>
          <c:order val="1"/>
          <c:tx>
            <c:strRef>
              <c:f>Sheet33!$E$24</c:f>
              <c:strCache>
                <c:ptCount val="1"/>
                <c:pt idx="0">
                  <c:v>Novi zakoni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Sheet33!$C$25:$C$32</c:f>
              <c:strCache>
                <c:ptCount val="5"/>
                <c:pt idx="0">
                  <c:v>2011.</c:v>
                </c:pt>
                <c:pt idx="1">
                  <c:v>2012.</c:v>
                </c:pt>
                <c:pt idx="2">
                  <c:v>2013.</c:v>
                </c:pt>
                <c:pt idx="3">
                  <c:v>2014.</c:v>
                </c:pt>
                <c:pt idx="4">
                  <c:v>2015.</c:v>
                </c:pt>
              </c:strCache>
            </c:strRef>
          </c:cat>
          <c:val>
            <c:numRef>
              <c:f>Sheet33!$E$25:$E$32</c:f>
              <c:numCache>
                <c:formatCode>General</c:formatCode>
                <c:ptCount val="5"/>
                <c:pt idx="0">
                  <c:v>93</c:v>
                </c:pt>
                <c:pt idx="1">
                  <c:v>74</c:v>
                </c:pt>
                <c:pt idx="2">
                  <c:v>64</c:v>
                </c:pt>
                <c:pt idx="3">
                  <c:v>37</c:v>
                </c:pt>
                <c:pt idx="4">
                  <c:v>65</c:v>
                </c:pt>
              </c:numCache>
            </c:numRef>
          </c:val>
        </c:ser>
        <c:dLbls>
          <c:showLegendKey val="0"/>
          <c:showVal val="1"/>
          <c:showCatName val="0"/>
          <c:showSerName val="0"/>
          <c:showPercent val="0"/>
          <c:showBubbleSize val="0"/>
        </c:dLbls>
        <c:gapWidth val="95"/>
        <c:gapDepth val="95"/>
        <c:shape val="box"/>
        <c:axId val="193226240"/>
        <c:axId val="193429504"/>
        <c:axId val="0"/>
      </c:bar3DChart>
      <c:catAx>
        <c:axId val="193226240"/>
        <c:scaling>
          <c:orientation val="minMax"/>
        </c:scaling>
        <c:delete val="0"/>
        <c:axPos val="b"/>
        <c:numFmt formatCode="General" sourceLinked="0"/>
        <c:majorTickMark val="none"/>
        <c:minorTickMark val="none"/>
        <c:tickLblPos val="nextTo"/>
        <c:txPr>
          <a:bodyPr/>
          <a:lstStyle/>
          <a:p>
            <a:pPr>
              <a:defRPr lang="en-US"/>
            </a:pPr>
            <a:endParaRPr lang="en-US"/>
          </a:p>
        </c:txPr>
        <c:crossAx val="193429504"/>
        <c:crosses val="autoZero"/>
        <c:auto val="1"/>
        <c:lblAlgn val="ctr"/>
        <c:lblOffset val="100"/>
        <c:noMultiLvlLbl val="0"/>
      </c:catAx>
      <c:valAx>
        <c:axId val="193429504"/>
        <c:scaling>
          <c:orientation val="minMax"/>
        </c:scaling>
        <c:delete val="1"/>
        <c:axPos val="l"/>
        <c:numFmt formatCode="General" sourceLinked="1"/>
        <c:majorTickMark val="out"/>
        <c:minorTickMark val="none"/>
        <c:tickLblPos val="nextTo"/>
        <c:crossAx val="193226240"/>
        <c:crosses val="autoZero"/>
        <c:crossBetween val="between"/>
      </c:valAx>
    </c:plotArea>
    <c:legend>
      <c:legendPos val="t"/>
      <c:overlay val="0"/>
      <c:txPr>
        <a:bodyPr/>
        <a:lstStyle/>
        <a:p>
          <a:pPr>
            <a:defRPr lang="en-US" sz="1050" b="1"/>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solidFill>
                  <a:sysClr val="windowText" lastClr="000000"/>
                </a:solidFill>
              </a:defRPr>
            </a:pPr>
            <a:r>
              <a:rPr lang="bs-Latn-BA" sz="1400" b="1" i="0" baseline="0">
                <a:solidFill>
                  <a:sysClr val="windowText" lastClr="000000"/>
                </a:solidFill>
                <a:effectLst/>
              </a:rPr>
              <a:t>Rezultat ukupne zakonodavne aktivnosti u NS RS , u periodu 01.01.2015-30.09.2015.</a:t>
            </a:r>
            <a:endParaRPr lang="bs-Latn-BA" sz="1400">
              <a:solidFill>
                <a:sysClr val="windowText" lastClr="000000"/>
              </a:solidFill>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Sheet10!$S$29</c:f>
              <c:strCache>
                <c:ptCount val="1"/>
                <c:pt idx="0">
                  <c:v>Planirano</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Sheet10!$T$28:$V$28</c:f>
              <c:strCache>
                <c:ptCount val="3"/>
                <c:pt idx="0">
                  <c:v>Usvojeno</c:v>
                </c:pt>
                <c:pt idx="1">
                  <c:v>Prihvaćeno u nacrtu</c:v>
                </c:pt>
                <c:pt idx="2">
                  <c:v>Odbijeno</c:v>
                </c:pt>
              </c:strCache>
            </c:strRef>
          </c:cat>
          <c:val>
            <c:numRef>
              <c:f>Sheet10!$T$29:$V$29</c:f>
              <c:numCache>
                <c:formatCode>General</c:formatCode>
                <c:ptCount val="3"/>
                <c:pt idx="0">
                  <c:v>23</c:v>
                </c:pt>
                <c:pt idx="1">
                  <c:v>17</c:v>
                </c:pt>
                <c:pt idx="2">
                  <c:v>0</c:v>
                </c:pt>
              </c:numCache>
            </c:numRef>
          </c:val>
        </c:ser>
        <c:ser>
          <c:idx val="1"/>
          <c:order val="1"/>
          <c:tx>
            <c:strRef>
              <c:f>Sheet10!$S$30</c:f>
              <c:strCache>
                <c:ptCount val="1"/>
                <c:pt idx="0">
                  <c:v>Neplanirano</c:v>
                </c:pt>
              </c:strCache>
            </c:strRef>
          </c:tx>
          <c:invertIfNegative val="0"/>
          <c:dLbls>
            <c:dLbl>
              <c:idx val="0"/>
              <c:layout>
                <c:manualLayout>
                  <c:x val="2.2050716648291083E-3"/>
                  <c:y val="-3.69881109643328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025358324145541E-2"/>
                  <c:y val="-4.22721268163804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Sheet10!$T$28:$V$28</c:f>
              <c:strCache>
                <c:ptCount val="3"/>
                <c:pt idx="0">
                  <c:v>Usvojeno</c:v>
                </c:pt>
                <c:pt idx="1">
                  <c:v>Prihvaćeno u nacrtu</c:v>
                </c:pt>
                <c:pt idx="2">
                  <c:v>Odbijeno</c:v>
                </c:pt>
              </c:strCache>
            </c:strRef>
          </c:cat>
          <c:val>
            <c:numRef>
              <c:f>Sheet10!$T$30:$V$30</c:f>
              <c:numCache>
                <c:formatCode>General</c:formatCode>
                <c:ptCount val="3"/>
                <c:pt idx="0">
                  <c:v>2</c:v>
                </c:pt>
                <c:pt idx="1">
                  <c:v>7</c:v>
                </c:pt>
                <c:pt idx="2">
                  <c:v>0</c:v>
                </c:pt>
              </c:numCache>
            </c:numRef>
          </c:val>
        </c:ser>
        <c:dLbls>
          <c:showLegendKey val="0"/>
          <c:showVal val="1"/>
          <c:showCatName val="0"/>
          <c:showSerName val="0"/>
          <c:showPercent val="0"/>
          <c:showBubbleSize val="0"/>
        </c:dLbls>
        <c:gapWidth val="95"/>
        <c:gapDepth val="95"/>
        <c:shape val="box"/>
        <c:axId val="79351296"/>
        <c:axId val="193430080"/>
        <c:axId val="0"/>
      </c:bar3DChart>
      <c:catAx>
        <c:axId val="79351296"/>
        <c:scaling>
          <c:orientation val="minMax"/>
        </c:scaling>
        <c:delete val="0"/>
        <c:axPos val="b"/>
        <c:numFmt formatCode="General" sourceLinked="0"/>
        <c:majorTickMark val="none"/>
        <c:minorTickMark val="none"/>
        <c:tickLblPos val="nextTo"/>
        <c:txPr>
          <a:bodyPr/>
          <a:lstStyle/>
          <a:p>
            <a:pPr>
              <a:defRPr lang="en-US" sz="1100" b="1"/>
            </a:pPr>
            <a:endParaRPr lang="en-US"/>
          </a:p>
        </c:txPr>
        <c:crossAx val="193430080"/>
        <c:crosses val="autoZero"/>
        <c:auto val="1"/>
        <c:lblAlgn val="ctr"/>
        <c:lblOffset val="100"/>
        <c:noMultiLvlLbl val="0"/>
      </c:catAx>
      <c:valAx>
        <c:axId val="193430080"/>
        <c:scaling>
          <c:orientation val="minMax"/>
        </c:scaling>
        <c:delete val="1"/>
        <c:axPos val="l"/>
        <c:numFmt formatCode="General" sourceLinked="1"/>
        <c:majorTickMark val="out"/>
        <c:minorTickMark val="none"/>
        <c:tickLblPos val="nextTo"/>
        <c:crossAx val="79351296"/>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s-Latn-BA" sz="1400"/>
              <a:t>Usvajanje zakona u NS RS, u</a:t>
            </a:r>
            <a:r>
              <a:rPr lang="bs-Latn-BA" sz="1400">
                <a:solidFill>
                  <a:srgbClr val="000000"/>
                </a:solidFill>
              </a:rPr>
              <a:t> 2015 </a:t>
            </a:r>
            <a:r>
              <a:rPr lang="bs-Latn-BA" sz="1400"/>
              <a:t>. godini</a:t>
            </a:r>
          </a:p>
        </c:rich>
      </c:tx>
      <c:overlay val="0"/>
    </c:title>
    <c:autoTitleDeleted val="0"/>
    <c:plotArea>
      <c:layout/>
      <c:lineChart>
        <c:grouping val="standard"/>
        <c:varyColors val="0"/>
        <c:ser>
          <c:idx val="0"/>
          <c:order val="0"/>
          <c:marker>
            <c:symbol val="none"/>
          </c:marker>
          <c:dLbls>
            <c:dLbl>
              <c:idx val="0"/>
              <c:layout>
                <c:manualLayout>
                  <c:x val="-2.6460859977949284E-2"/>
                  <c:y val="-3.69881109643328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230429988974663E-2"/>
                  <c:y val="-7.926023778071339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45644983461964E-2"/>
                  <c:y val="-5.81241743725231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076074972436566E-2"/>
                  <c:y val="-5.812417437252311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845644983461964E-2"/>
                  <c:y val="-5.28401585204754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6460859977949284E-2"/>
                  <c:y val="-4.227212681638046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2050716648291082E-2"/>
                  <c:y val="-5.28401585204755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Sheet16!$C$6:$C$17</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Sheet16!$D$6:$D$17</c:f>
              <c:numCache>
                <c:formatCode>General</c:formatCode>
                <c:ptCount val="12"/>
                <c:pt idx="0">
                  <c:v>0</c:v>
                </c:pt>
                <c:pt idx="1">
                  <c:v>2</c:v>
                </c:pt>
                <c:pt idx="2">
                  <c:v>1</c:v>
                </c:pt>
                <c:pt idx="3">
                  <c:v>1</c:v>
                </c:pt>
                <c:pt idx="4">
                  <c:v>6</c:v>
                </c:pt>
                <c:pt idx="5">
                  <c:v>0</c:v>
                </c:pt>
                <c:pt idx="6">
                  <c:v>4</c:v>
                </c:pt>
                <c:pt idx="7">
                  <c:v>0</c:v>
                </c:pt>
                <c:pt idx="8">
                  <c:v>11</c:v>
                </c:pt>
              </c:numCache>
            </c:numRef>
          </c:val>
          <c:smooth val="0"/>
        </c:ser>
        <c:dLbls>
          <c:showLegendKey val="0"/>
          <c:showVal val="1"/>
          <c:showCatName val="0"/>
          <c:showSerName val="0"/>
          <c:showPercent val="0"/>
          <c:showBubbleSize val="0"/>
        </c:dLbls>
        <c:marker val="1"/>
        <c:smooth val="0"/>
        <c:axId val="192807936"/>
        <c:axId val="193431808"/>
      </c:lineChart>
      <c:catAx>
        <c:axId val="192807936"/>
        <c:scaling>
          <c:orientation val="minMax"/>
        </c:scaling>
        <c:delete val="0"/>
        <c:axPos val="b"/>
        <c:numFmt formatCode="General" sourceLinked="0"/>
        <c:majorTickMark val="none"/>
        <c:minorTickMark val="none"/>
        <c:tickLblPos val="nextTo"/>
        <c:txPr>
          <a:bodyPr/>
          <a:lstStyle/>
          <a:p>
            <a:pPr>
              <a:defRPr lang="en-US" sz="1100"/>
            </a:pPr>
            <a:endParaRPr lang="en-US"/>
          </a:p>
        </c:txPr>
        <c:crossAx val="193431808"/>
        <c:crosses val="autoZero"/>
        <c:auto val="1"/>
        <c:lblAlgn val="ctr"/>
        <c:lblOffset val="100"/>
        <c:noMultiLvlLbl val="0"/>
      </c:catAx>
      <c:valAx>
        <c:axId val="193431808"/>
        <c:scaling>
          <c:orientation val="minMax"/>
        </c:scaling>
        <c:delete val="1"/>
        <c:axPos val="l"/>
        <c:numFmt formatCode="General" sourceLinked="1"/>
        <c:majorTickMark val="none"/>
        <c:minorTickMark val="none"/>
        <c:tickLblPos val="nextTo"/>
        <c:crossAx val="19280793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solidFill>
                  <a:sysClr val="windowText" lastClr="000000"/>
                </a:solidFill>
              </a:defRPr>
            </a:pPr>
            <a:r>
              <a:rPr lang="bs-Latn-BA" sz="1400" b="1" i="0" u="none" strike="noStrike" baseline="0">
                <a:solidFill>
                  <a:sysClr val="windowText" lastClr="000000"/>
                </a:solidFill>
                <a:effectLst/>
              </a:rPr>
              <a:t>Odnos temeljnih zakona i izmjena i dopuna, u zakonima NS RS  , usvojenim do30.09.2015 </a:t>
            </a:r>
            <a:endParaRPr lang="bs-Latn-BA" sz="1400">
              <a:solidFill>
                <a:sysClr val="windowText" lastClr="000000"/>
              </a:solidFill>
            </a:endParaRPr>
          </a:p>
        </c:rich>
      </c:tx>
      <c:layout>
        <c:manualLayout>
          <c:xMode val="edge"/>
          <c:yMode val="edge"/>
          <c:x val="0.14021474588403746"/>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2.4060459012390855E-2"/>
                  <c:y val="-6.2952755905511915E-2"/>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5.2174815357382651E-2"/>
                  <c:y val="-8.4454286964129544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lang="en-US" sz="11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Sheet17!$C$6:$C$7</c:f>
              <c:strCache>
                <c:ptCount val="3"/>
                <c:pt idx="0">
                  <c:v>Temeljni zakoni</c:v>
                </c:pt>
                <c:pt idx="1">
                  <c:v>Izmjene i dopune</c:v>
                </c:pt>
                <c:pt idx="2">
                  <c:v>Prestanak primjene</c:v>
                </c:pt>
              </c:strCache>
            </c:strRef>
          </c:cat>
          <c:val>
            <c:numRef>
              <c:f>Sheet17!$D$6:$D$7</c:f>
              <c:numCache>
                <c:formatCode>General</c:formatCode>
                <c:ptCount val="3"/>
                <c:pt idx="0">
                  <c:v>10</c:v>
                </c:pt>
                <c:pt idx="1">
                  <c:v>15</c:v>
                </c:pt>
                <c:pt idx="2">
                  <c:v>0</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lang="en-US" sz="1100" b="1"/>
          </a:pPr>
          <a:endParaRPr lang="en-US"/>
        </a:p>
      </c:txPr>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solidFill>
                  <a:sysClr val="windowText" lastClr="000000"/>
                </a:solidFill>
              </a:defRPr>
            </a:pPr>
            <a:r>
              <a:rPr lang="bs-Latn-BA" sz="1400" b="1" i="0" baseline="0">
                <a:solidFill>
                  <a:sysClr val="windowText" lastClr="000000"/>
                </a:solidFill>
                <a:effectLst/>
              </a:rPr>
              <a:t>Realizacija zakona u NS RS </a:t>
            </a:r>
            <a:endParaRPr lang="bs-Latn-BA" sz="1400">
              <a:solidFill>
                <a:sysClr val="windowText" lastClr="000000"/>
              </a:solidFill>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Sheet18!$D$29</c:f>
              <c:strCache>
                <c:ptCount val="1"/>
                <c:pt idx="0">
                  <c:v>Prijedlozi</c:v>
                </c:pt>
              </c:strCache>
            </c:strRef>
          </c:tx>
          <c:invertIfNegative val="0"/>
          <c:dLbls>
            <c:spPr>
              <a:noFill/>
              <a:ln>
                <a:noFill/>
              </a:ln>
              <a:effectLst/>
            </c:spPr>
            <c:txPr>
              <a:bodyPr/>
              <a:lstStyle/>
              <a:p>
                <a:pPr>
                  <a:defRPr lang="en-US"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Sheet18!$C$30:$C$36</c:f>
              <c:strCache>
                <c:ptCount val="5"/>
                <c:pt idx="0">
                  <c:v> I-IX 2011.</c:v>
                </c:pt>
                <c:pt idx="1">
                  <c:v> I-IX 2012.</c:v>
                </c:pt>
                <c:pt idx="2">
                  <c:v> I-IX 2013.</c:v>
                </c:pt>
                <c:pt idx="3">
                  <c:v> I-IX 2014.</c:v>
                </c:pt>
                <c:pt idx="4">
                  <c:v> I-IX 2015.</c:v>
                </c:pt>
              </c:strCache>
            </c:strRef>
          </c:cat>
          <c:val>
            <c:numRef>
              <c:f>Sheet18!$D$30:$D$36</c:f>
              <c:numCache>
                <c:formatCode>General</c:formatCode>
                <c:ptCount val="5"/>
                <c:pt idx="0">
                  <c:v>43</c:v>
                </c:pt>
                <c:pt idx="1">
                  <c:v>38</c:v>
                </c:pt>
                <c:pt idx="2">
                  <c:v>52</c:v>
                </c:pt>
                <c:pt idx="3">
                  <c:v>45</c:v>
                </c:pt>
                <c:pt idx="4">
                  <c:v>25</c:v>
                </c:pt>
              </c:numCache>
            </c:numRef>
          </c:val>
        </c:ser>
        <c:ser>
          <c:idx val="1"/>
          <c:order val="1"/>
          <c:tx>
            <c:strRef>
              <c:f>Sheet18!$E$29</c:f>
              <c:strCache>
                <c:ptCount val="1"/>
                <c:pt idx="0">
                  <c:v>Nacrti</c:v>
                </c:pt>
              </c:strCache>
            </c:strRef>
          </c:tx>
          <c:invertIfNegative val="0"/>
          <c:dLbls>
            <c:spPr>
              <a:noFill/>
              <a:ln>
                <a:noFill/>
              </a:ln>
              <a:effectLst/>
            </c:spPr>
            <c:txPr>
              <a:bodyPr/>
              <a:lstStyle/>
              <a:p>
                <a:pPr>
                  <a:defRPr lang="en-US"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Sheet18!$C$30:$C$36</c:f>
              <c:strCache>
                <c:ptCount val="5"/>
                <c:pt idx="0">
                  <c:v> I-IX 2011.</c:v>
                </c:pt>
                <c:pt idx="1">
                  <c:v> I-IX 2012.</c:v>
                </c:pt>
                <c:pt idx="2">
                  <c:v> I-IX 2013.</c:v>
                </c:pt>
                <c:pt idx="3">
                  <c:v> I-IX 2014.</c:v>
                </c:pt>
                <c:pt idx="4">
                  <c:v> I-IX 2015.</c:v>
                </c:pt>
              </c:strCache>
            </c:strRef>
          </c:cat>
          <c:val>
            <c:numRef>
              <c:f>Sheet18!$E$30:$E$36</c:f>
              <c:numCache>
                <c:formatCode>General</c:formatCode>
                <c:ptCount val="5"/>
                <c:pt idx="0">
                  <c:v>21</c:v>
                </c:pt>
                <c:pt idx="1">
                  <c:v>14</c:v>
                </c:pt>
                <c:pt idx="2">
                  <c:v>17</c:v>
                </c:pt>
                <c:pt idx="3">
                  <c:v>6</c:v>
                </c:pt>
                <c:pt idx="4">
                  <c:v>24</c:v>
                </c:pt>
              </c:numCache>
            </c:numRef>
          </c:val>
        </c:ser>
        <c:dLbls>
          <c:showLegendKey val="0"/>
          <c:showVal val="1"/>
          <c:showCatName val="0"/>
          <c:showSerName val="0"/>
          <c:showPercent val="0"/>
          <c:showBubbleSize val="0"/>
        </c:dLbls>
        <c:gapWidth val="95"/>
        <c:gapDepth val="95"/>
        <c:shape val="box"/>
        <c:axId val="184522240"/>
        <c:axId val="193434688"/>
        <c:axId val="0"/>
      </c:bar3DChart>
      <c:catAx>
        <c:axId val="184522240"/>
        <c:scaling>
          <c:orientation val="minMax"/>
        </c:scaling>
        <c:delete val="0"/>
        <c:axPos val="b"/>
        <c:numFmt formatCode="General" sourceLinked="0"/>
        <c:majorTickMark val="none"/>
        <c:minorTickMark val="none"/>
        <c:tickLblPos val="nextTo"/>
        <c:txPr>
          <a:bodyPr/>
          <a:lstStyle/>
          <a:p>
            <a:pPr>
              <a:defRPr lang="en-US" sz="1100" b="1"/>
            </a:pPr>
            <a:endParaRPr lang="en-US"/>
          </a:p>
        </c:txPr>
        <c:crossAx val="193434688"/>
        <c:crosses val="autoZero"/>
        <c:auto val="1"/>
        <c:lblAlgn val="ctr"/>
        <c:lblOffset val="100"/>
        <c:noMultiLvlLbl val="0"/>
      </c:catAx>
      <c:valAx>
        <c:axId val="193434688"/>
        <c:scaling>
          <c:orientation val="minMax"/>
        </c:scaling>
        <c:delete val="1"/>
        <c:axPos val="l"/>
        <c:numFmt formatCode="General" sourceLinked="1"/>
        <c:majorTickMark val="out"/>
        <c:minorTickMark val="none"/>
        <c:tickLblPos val="nextTo"/>
        <c:crossAx val="184522240"/>
        <c:crosses val="autoZero"/>
        <c:crossBetween val="between"/>
      </c:valAx>
    </c:plotArea>
    <c:legend>
      <c:legendPos val="t"/>
      <c:overlay val="0"/>
      <c:txPr>
        <a:bodyPr/>
        <a:lstStyle/>
        <a:p>
          <a:pPr>
            <a:defRPr lang="en-US" sz="1100" b="1"/>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solidFill>
                  <a:sysClr val="windowText" lastClr="000000"/>
                </a:solidFill>
              </a:defRPr>
            </a:pPr>
            <a:r>
              <a:rPr lang="bs-Latn-BA" sz="1400">
                <a:solidFill>
                  <a:sysClr val="windowText" lastClr="000000"/>
                </a:solidFill>
              </a:rPr>
              <a:t>Koordinacija rada Vlade i , u realizaciji zakonodavnih obaveza, u periodu 01.01.2015-30.09.2015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Sheet20!$C$6</c:f>
              <c:strCache>
                <c:ptCount val="1"/>
                <c:pt idx="0">
                  <c:v>Vlada</c:v>
                </c:pt>
              </c:strCache>
            </c:strRef>
          </c:tx>
          <c:invertIfNegative val="0"/>
          <c:dLbls>
            <c:dLbl>
              <c:idx val="0"/>
              <c:layout>
                <c:manualLayout>
                  <c:x val="1.5435501653803771E-2"/>
                  <c:y val="-4.75561426684279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05071664829119E-2"/>
                  <c:y val="-3.69881109643328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Sheet20!$D$5:$E$5</c:f>
              <c:strCache>
                <c:ptCount val="2"/>
                <c:pt idx="0">
                  <c:v>Nacrti</c:v>
                </c:pt>
                <c:pt idx="1">
                  <c:v>Prijedlozi</c:v>
                </c:pt>
              </c:strCache>
            </c:strRef>
          </c:cat>
          <c:val>
            <c:numRef>
              <c:f>Sheet20!$D$6:$E$6</c:f>
              <c:numCache>
                <c:formatCode>General</c:formatCode>
                <c:ptCount val="2"/>
                <c:pt idx="0">
                  <c:v>18</c:v>
                </c:pt>
                <c:pt idx="1">
                  <c:v>31</c:v>
                </c:pt>
              </c:numCache>
            </c:numRef>
          </c:val>
        </c:ser>
        <c:ser>
          <c:idx val="1"/>
          <c:order val="1"/>
          <c:tx>
            <c:strRef>
              <c:f>Sheet20!$C$7</c:f>
              <c:strCache>
                <c:ptCount val="1"/>
                <c:pt idx="0">
                  <c:v>Skupština</c:v>
                </c:pt>
              </c:strCache>
            </c:strRef>
          </c:tx>
          <c:invertIfNegative val="0"/>
          <c:dLbls>
            <c:dLbl>
              <c:idx val="0"/>
              <c:layout>
                <c:manualLayout>
                  <c:x val="3.9691289966923997E-2"/>
                  <c:y val="-2.642007926023777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665931642778392E-2"/>
                  <c:y val="-2.11360634081902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Sheet20!$D$5:$E$5</c:f>
              <c:strCache>
                <c:ptCount val="2"/>
                <c:pt idx="0">
                  <c:v>Nacrti</c:v>
                </c:pt>
                <c:pt idx="1">
                  <c:v>Prijedlozi</c:v>
                </c:pt>
              </c:strCache>
            </c:strRef>
          </c:cat>
          <c:val>
            <c:numRef>
              <c:f>Sheet20!$D$7:$E$7</c:f>
              <c:numCache>
                <c:formatCode>General</c:formatCode>
                <c:ptCount val="2"/>
                <c:pt idx="0">
                  <c:v>24</c:v>
                </c:pt>
                <c:pt idx="1">
                  <c:v>25</c:v>
                </c:pt>
              </c:numCache>
            </c:numRef>
          </c:val>
        </c:ser>
        <c:dLbls>
          <c:showLegendKey val="0"/>
          <c:showVal val="1"/>
          <c:showCatName val="0"/>
          <c:showSerName val="0"/>
          <c:showPercent val="0"/>
          <c:showBubbleSize val="0"/>
        </c:dLbls>
        <c:gapWidth val="150"/>
        <c:shape val="box"/>
        <c:axId val="192806912"/>
        <c:axId val="193978944"/>
        <c:axId val="0"/>
      </c:bar3DChart>
      <c:catAx>
        <c:axId val="192806912"/>
        <c:scaling>
          <c:orientation val="minMax"/>
        </c:scaling>
        <c:delete val="0"/>
        <c:axPos val="b"/>
        <c:numFmt formatCode="General" sourceLinked="0"/>
        <c:majorTickMark val="none"/>
        <c:minorTickMark val="none"/>
        <c:tickLblPos val="nextTo"/>
        <c:txPr>
          <a:bodyPr/>
          <a:lstStyle/>
          <a:p>
            <a:pPr>
              <a:defRPr lang="en-US" sz="1100"/>
            </a:pPr>
            <a:endParaRPr lang="en-US"/>
          </a:p>
        </c:txPr>
        <c:crossAx val="193978944"/>
        <c:crosses val="autoZero"/>
        <c:auto val="1"/>
        <c:lblAlgn val="ctr"/>
        <c:lblOffset val="100"/>
        <c:noMultiLvlLbl val="0"/>
      </c:catAx>
      <c:valAx>
        <c:axId val="193978944"/>
        <c:scaling>
          <c:orientation val="minMax"/>
        </c:scaling>
        <c:delete val="1"/>
        <c:axPos val="l"/>
        <c:numFmt formatCode="General" sourceLinked="1"/>
        <c:majorTickMark val="none"/>
        <c:minorTickMark val="none"/>
        <c:tickLblPos val="nextTo"/>
        <c:crossAx val="192806912"/>
        <c:crosses val="autoZero"/>
        <c:crossBetween val="between"/>
      </c:valAx>
    </c:plotArea>
    <c:legend>
      <c:legendPos val="t"/>
      <c:overlay val="0"/>
      <c:txPr>
        <a:bodyPr/>
        <a:lstStyle/>
        <a:p>
          <a:pPr>
            <a:defRPr lang="en-US" sz="1100"/>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s-Latn-BA" sz="1400" b="1" i="0" baseline="0">
                <a:effectLst/>
              </a:rPr>
              <a:t>Odnos između Vlade RS i NS RS, u kontekstu realizacije planiranih zakona, u periodu  01.01. - 30.09.2015.</a:t>
            </a:r>
            <a:endParaRPr lang="bs-Latn-BA" sz="140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Sheet21!$D$5</c:f>
              <c:strCache>
                <c:ptCount val="1"/>
                <c:pt idx="0">
                  <c:v>Prijedlozi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Sheet21!$C$6:$C$8</c:f>
              <c:strCache>
                <c:ptCount val="3"/>
                <c:pt idx="0">
                  <c:v>Godišnji plan Vlade za 2015. godinu</c:v>
                </c:pt>
                <c:pt idx="1">
                  <c:v>Realizacija Vlade do 30.09.2015</c:v>
                </c:pt>
                <c:pt idx="2">
                  <c:v>Realizacija ovih zakona u NS RS</c:v>
                </c:pt>
              </c:strCache>
            </c:strRef>
          </c:cat>
          <c:val>
            <c:numRef>
              <c:f>Sheet21!$D$6:$D$8</c:f>
              <c:numCache>
                <c:formatCode>General</c:formatCode>
                <c:ptCount val="3"/>
                <c:pt idx="0">
                  <c:v>91</c:v>
                </c:pt>
                <c:pt idx="1">
                  <c:v>28</c:v>
                </c:pt>
                <c:pt idx="2">
                  <c:v>21</c:v>
                </c:pt>
              </c:numCache>
            </c:numRef>
          </c:val>
        </c:ser>
        <c:ser>
          <c:idx val="1"/>
          <c:order val="1"/>
          <c:tx>
            <c:strRef>
              <c:f>Sheet21!$E$5</c:f>
              <c:strCache>
                <c:ptCount val="1"/>
                <c:pt idx="0">
                  <c:v>Nacrti</c:v>
                </c:pt>
              </c:strCache>
            </c:strRef>
          </c:tx>
          <c:invertIfNegative val="0"/>
          <c:dLbls>
            <c:dLbl>
              <c:idx val="0"/>
              <c:layout>
                <c:manualLayout>
                  <c:x val="0"/>
                  <c:y val="-3.29859744094488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1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Sheet21!$C$6:$C$8</c:f>
              <c:strCache>
                <c:ptCount val="3"/>
                <c:pt idx="0">
                  <c:v>Godišnji plan Vlade za 2015. godinu</c:v>
                </c:pt>
                <c:pt idx="1">
                  <c:v>Realizacija Vlade do 30.09.2015</c:v>
                </c:pt>
                <c:pt idx="2">
                  <c:v>Realizacija ovih zakona u NS RS</c:v>
                </c:pt>
              </c:strCache>
            </c:strRef>
          </c:cat>
          <c:val>
            <c:numRef>
              <c:f>Sheet21!$E$6:$E$8</c:f>
              <c:numCache>
                <c:formatCode>General</c:formatCode>
                <c:ptCount val="3"/>
                <c:pt idx="0">
                  <c:v>2</c:v>
                </c:pt>
                <c:pt idx="1">
                  <c:v>11</c:v>
                </c:pt>
                <c:pt idx="2">
                  <c:v>15</c:v>
                </c:pt>
              </c:numCache>
            </c:numRef>
          </c:val>
        </c:ser>
        <c:dLbls>
          <c:showLegendKey val="0"/>
          <c:showVal val="1"/>
          <c:showCatName val="0"/>
          <c:showSerName val="0"/>
          <c:showPercent val="0"/>
          <c:showBubbleSize val="0"/>
        </c:dLbls>
        <c:gapWidth val="95"/>
        <c:gapDepth val="95"/>
        <c:shape val="box"/>
        <c:axId val="193224704"/>
        <c:axId val="193980096"/>
        <c:axId val="0"/>
      </c:bar3DChart>
      <c:catAx>
        <c:axId val="193224704"/>
        <c:scaling>
          <c:orientation val="minMax"/>
        </c:scaling>
        <c:delete val="0"/>
        <c:axPos val="b"/>
        <c:numFmt formatCode="General" sourceLinked="0"/>
        <c:majorTickMark val="none"/>
        <c:minorTickMark val="none"/>
        <c:tickLblPos val="nextTo"/>
        <c:txPr>
          <a:bodyPr/>
          <a:lstStyle/>
          <a:p>
            <a:pPr>
              <a:defRPr lang="en-US" sz="1050" b="1"/>
            </a:pPr>
            <a:endParaRPr lang="en-US"/>
          </a:p>
        </c:txPr>
        <c:crossAx val="193980096"/>
        <c:crosses val="autoZero"/>
        <c:auto val="1"/>
        <c:lblAlgn val="ctr"/>
        <c:lblOffset val="100"/>
        <c:noMultiLvlLbl val="0"/>
      </c:catAx>
      <c:valAx>
        <c:axId val="193980096"/>
        <c:scaling>
          <c:orientation val="minMax"/>
        </c:scaling>
        <c:delete val="1"/>
        <c:axPos val="l"/>
        <c:numFmt formatCode="General" sourceLinked="1"/>
        <c:majorTickMark val="out"/>
        <c:minorTickMark val="none"/>
        <c:tickLblPos val="nextTo"/>
        <c:crossAx val="193224704"/>
        <c:crosses val="autoZero"/>
        <c:crossBetween val="between"/>
      </c:valAx>
    </c:plotArea>
    <c:legend>
      <c:legendPos val="t"/>
      <c:overlay val="0"/>
      <c:txPr>
        <a:bodyPr/>
        <a:lstStyle/>
        <a:p>
          <a:pPr>
            <a:defRPr lang="en-US" sz="1100" b="1"/>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solidFill>
                  <a:sysClr val="windowText" lastClr="000000"/>
                </a:solidFill>
              </a:defRPr>
            </a:pPr>
            <a:r>
              <a:rPr lang="bs-Latn-BA" sz="1400">
                <a:solidFill>
                  <a:sysClr val="windowText" lastClr="000000"/>
                </a:solidFill>
              </a:rPr>
              <a:t>Poslanička pitanja i odgovori, u periodu 01.01.2015-30.09.2015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4.0520984081042023E-2"/>
                  <c:y val="-9.25925925925930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32272069464679E-2"/>
                  <c:y val="-9.72222222222222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Sheet29!$C$6:$C$7</c:f>
              <c:strCache>
                <c:ptCount val="2"/>
                <c:pt idx="0">
                  <c:v>Poslanička pitanja</c:v>
                </c:pt>
                <c:pt idx="1">
                  <c:v>Odgovori na njih</c:v>
                </c:pt>
              </c:strCache>
            </c:strRef>
          </c:cat>
          <c:val>
            <c:numRef>
              <c:f>Sheet29!$D$6:$D$7</c:f>
              <c:numCache>
                <c:formatCode>General</c:formatCode>
                <c:ptCount val="2"/>
                <c:pt idx="0">
                  <c:v>175</c:v>
                </c:pt>
                <c:pt idx="1">
                  <c:v>171</c:v>
                </c:pt>
              </c:numCache>
            </c:numRef>
          </c:val>
        </c:ser>
        <c:dLbls>
          <c:showLegendKey val="0"/>
          <c:showVal val="1"/>
          <c:showCatName val="0"/>
          <c:showSerName val="0"/>
          <c:showPercent val="0"/>
          <c:showBubbleSize val="0"/>
        </c:dLbls>
        <c:gapWidth val="150"/>
        <c:shape val="box"/>
        <c:axId val="193227776"/>
        <c:axId val="193981824"/>
        <c:axId val="0"/>
      </c:bar3DChart>
      <c:catAx>
        <c:axId val="193227776"/>
        <c:scaling>
          <c:orientation val="minMax"/>
        </c:scaling>
        <c:delete val="0"/>
        <c:axPos val="b"/>
        <c:numFmt formatCode="General" sourceLinked="0"/>
        <c:majorTickMark val="none"/>
        <c:minorTickMark val="none"/>
        <c:tickLblPos val="nextTo"/>
        <c:txPr>
          <a:bodyPr/>
          <a:lstStyle/>
          <a:p>
            <a:pPr>
              <a:defRPr lang="en-US"/>
            </a:pPr>
            <a:endParaRPr lang="en-US"/>
          </a:p>
        </c:txPr>
        <c:crossAx val="193981824"/>
        <c:crosses val="autoZero"/>
        <c:auto val="1"/>
        <c:lblAlgn val="ctr"/>
        <c:lblOffset val="100"/>
        <c:noMultiLvlLbl val="0"/>
      </c:catAx>
      <c:valAx>
        <c:axId val="193981824"/>
        <c:scaling>
          <c:orientation val="minMax"/>
        </c:scaling>
        <c:delete val="1"/>
        <c:axPos val="l"/>
        <c:numFmt formatCode="General" sourceLinked="1"/>
        <c:majorTickMark val="out"/>
        <c:minorTickMark val="none"/>
        <c:tickLblPos val="nextTo"/>
        <c:crossAx val="193227776"/>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400"/>
            </a:pPr>
            <a:r>
              <a:rPr lang="en-US" sz="1400"/>
              <a:t>Poređenje Parlamenta FBiH i NS RS u periodu 01.01.2015-30.09.2015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Parlament FBiH</c:v>
                </c:pt>
              </c:strCache>
            </c:strRef>
          </c:tx>
          <c:invertIfNegative val="0"/>
          <c:dLbls>
            <c:dLbl>
              <c:idx val="0"/>
              <c:layout>
                <c:manualLayout>
                  <c:x val="1.3230429988974642E-2"/>
                  <c:y val="-3.17040951122853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40573318632877E-2"/>
                  <c:y val="-5.28401585204755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Broj sati zasjedanja</c:v>
                </c:pt>
                <c:pt idx="1">
                  <c:v>Broj usvojenih zakona</c:v>
                </c:pt>
              </c:strCache>
            </c:strRef>
          </c:cat>
          <c:val>
            <c:numRef>
              <c:f>Sheet1!$B$2:$B$3</c:f>
              <c:numCache>
                <c:formatCode>General</c:formatCode>
                <c:ptCount val="2"/>
                <c:pt idx="0">
                  <c:v>35</c:v>
                </c:pt>
                <c:pt idx="1">
                  <c:v>14</c:v>
                </c:pt>
              </c:numCache>
            </c:numRef>
          </c:val>
        </c:ser>
        <c:ser>
          <c:idx val="1"/>
          <c:order val="1"/>
          <c:tx>
            <c:strRef>
              <c:f>Sheet1!$C$1</c:f>
              <c:strCache>
                <c:ptCount val="1"/>
                <c:pt idx="0">
                  <c:v>NS RS</c:v>
                </c:pt>
              </c:strCache>
            </c:strRef>
          </c:tx>
          <c:invertIfNegative val="0"/>
          <c:dLbls>
            <c:dLbl>
              <c:idx val="0"/>
              <c:layout>
                <c:manualLayout>
                  <c:x val="2.425578831312019E-2"/>
                  <c:y val="-1.58520475561426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460859977949284E-2"/>
                  <c:y val="-5.28401585204755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Broj sati zasjedanja</c:v>
                </c:pt>
                <c:pt idx="1">
                  <c:v>Broj usvojenih zakona</c:v>
                </c:pt>
              </c:strCache>
            </c:strRef>
          </c:cat>
          <c:val>
            <c:numRef>
              <c:f>Sheet1!$C$2:$C$3</c:f>
              <c:numCache>
                <c:formatCode>General</c:formatCode>
                <c:ptCount val="2"/>
                <c:pt idx="0">
                  <c:v>262</c:v>
                </c:pt>
                <c:pt idx="1">
                  <c:v>25</c:v>
                </c:pt>
              </c:numCache>
            </c:numRef>
          </c:val>
        </c:ser>
        <c:dLbls>
          <c:showLegendKey val="0"/>
          <c:showVal val="1"/>
          <c:showCatName val="0"/>
          <c:showSerName val="0"/>
          <c:showPercent val="0"/>
          <c:showBubbleSize val="0"/>
        </c:dLbls>
        <c:gapWidth val="150"/>
        <c:shape val="box"/>
        <c:axId val="192808960"/>
        <c:axId val="193983552"/>
        <c:axId val="0"/>
      </c:bar3DChart>
      <c:catAx>
        <c:axId val="192808960"/>
        <c:scaling>
          <c:orientation val="minMax"/>
        </c:scaling>
        <c:delete val="0"/>
        <c:axPos val="b"/>
        <c:numFmt formatCode="General" sourceLinked="0"/>
        <c:majorTickMark val="none"/>
        <c:minorTickMark val="none"/>
        <c:tickLblPos val="nextTo"/>
        <c:txPr>
          <a:bodyPr/>
          <a:lstStyle/>
          <a:p>
            <a:pPr>
              <a:defRPr lang="en-US" sz="1100" b="1"/>
            </a:pPr>
            <a:endParaRPr lang="en-US"/>
          </a:p>
        </c:txPr>
        <c:crossAx val="193983552"/>
        <c:crosses val="autoZero"/>
        <c:auto val="1"/>
        <c:lblAlgn val="ctr"/>
        <c:lblOffset val="100"/>
        <c:noMultiLvlLbl val="0"/>
      </c:catAx>
      <c:valAx>
        <c:axId val="193983552"/>
        <c:scaling>
          <c:orientation val="minMax"/>
        </c:scaling>
        <c:delete val="1"/>
        <c:axPos val="l"/>
        <c:numFmt formatCode="General" sourceLinked="1"/>
        <c:majorTickMark val="out"/>
        <c:minorTickMark val="none"/>
        <c:tickLblPos val="nextTo"/>
        <c:crossAx val="192808960"/>
        <c:crosses val="autoZero"/>
        <c:crossBetween val="between"/>
      </c:valAx>
    </c:plotArea>
    <c:legend>
      <c:legendPos val="t"/>
      <c:overlay val="0"/>
      <c:txPr>
        <a:bodyPr/>
        <a:lstStyle/>
        <a:p>
          <a:pPr>
            <a:defRPr lang="en-US" sz="1100" b="1"/>
          </a:pPr>
          <a:endParaRPr lang="en-US"/>
        </a:p>
      </c:txPr>
    </c:legend>
    <c:plotVisOnly val="1"/>
    <c:dispBlanksAs val="gap"/>
    <c:showDLblsOverMax val="0"/>
  </c:chart>
  <c:externalData r:id="rId1">
    <c:autoUpdate val="0"/>
  </c:externalData>
</c:chartSpac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D2A9-8790-494C-B5C3-9F2BC556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45007</Words>
  <Characters>256544</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Bojana</cp:lastModifiedBy>
  <cp:revision>2</cp:revision>
  <cp:lastPrinted>2015-11-06T13:48:00Z</cp:lastPrinted>
  <dcterms:created xsi:type="dcterms:W3CDTF">2015-11-16T09:49:00Z</dcterms:created>
  <dcterms:modified xsi:type="dcterms:W3CDTF">2015-11-16T09:49:00Z</dcterms:modified>
</cp:coreProperties>
</file>