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08"/>
    <w:multiLevelType w:val="hybridMultilevel"/>
    <w:tmpl w:val="4B2E80C6"/>
    <w:lvl w:ilvl="0" w:tplc="B6462AAC">
      <w:start w:val="1"/>
      <w:numFmt w:val="decimal"/>
      <w:lvlText w:val="%1. "/>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D35FFC"/>
    <w:multiLevelType w:val="hybridMultilevel"/>
    <w:tmpl w:val="483A2FB8"/>
    <w:lvl w:ilvl="0" w:tplc="061814D4">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51E09BD"/>
    <w:multiLevelType w:val="hybridMultilevel"/>
    <w:tmpl w:val="A5D2F470"/>
    <w:lvl w:ilvl="0" w:tplc="10D4EA8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A2E476A"/>
    <w:multiLevelType w:val="hybridMultilevel"/>
    <w:tmpl w:val="548E4DE8"/>
    <w:lvl w:ilvl="0" w:tplc="01F8CC26">
      <w:start w:val="1"/>
      <w:numFmt w:val="decimal"/>
      <w:lvlText w:val="%1."/>
      <w:lvlJc w:val="left"/>
      <w:pPr>
        <w:ind w:left="720" w:hanging="360"/>
      </w:pPr>
      <w:rPr>
        <w:rFonts w:hint="default"/>
        <w:b/>
        <w:color w:val="00B050"/>
        <w:sz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D3021EA"/>
    <w:multiLevelType w:val="hybridMultilevel"/>
    <w:tmpl w:val="74427BA0"/>
    <w:lvl w:ilvl="0" w:tplc="B1627DE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22412C4"/>
    <w:multiLevelType w:val="hybridMultilevel"/>
    <w:tmpl w:val="A2064206"/>
    <w:lvl w:ilvl="0" w:tplc="821A9CD8">
      <w:start w:val="1"/>
      <w:numFmt w:val="decimal"/>
      <w:lvlText w:val="%1."/>
      <w:lvlJc w:val="left"/>
      <w:pPr>
        <w:ind w:left="720" w:hanging="360"/>
      </w:pPr>
      <w:rPr>
        <w:rFonts w:hint="default"/>
        <w:color w:val="1212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7A84103"/>
    <w:multiLevelType w:val="hybridMultilevel"/>
    <w:tmpl w:val="6A246314"/>
    <w:lvl w:ilvl="0" w:tplc="141A0017">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1D190720"/>
    <w:multiLevelType w:val="hybridMultilevel"/>
    <w:tmpl w:val="1D3E28E8"/>
    <w:lvl w:ilvl="0" w:tplc="2248ABE0">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8">
    <w:nsid w:val="1FE849B8"/>
    <w:multiLevelType w:val="hybridMultilevel"/>
    <w:tmpl w:val="A41C35D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nsid w:val="2EA47325"/>
    <w:multiLevelType w:val="hybridMultilevel"/>
    <w:tmpl w:val="448C45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511D1CCC"/>
    <w:multiLevelType w:val="hybridMultilevel"/>
    <w:tmpl w:val="340E68B0"/>
    <w:lvl w:ilvl="0" w:tplc="16E22094">
      <w:start w:val="6"/>
      <w:numFmt w:val="bullet"/>
      <w:lvlText w:val="-"/>
      <w:lvlJc w:val="left"/>
      <w:pPr>
        <w:ind w:left="1070" w:hanging="360"/>
      </w:pPr>
      <w:rPr>
        <w:rFonts w:ascii="Arial" w:eastAsia="Arial Unicode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A07768C"/>
    <w:multiLevelType w:val="hybridMultilevel"/>
    <w:tmpl w:val="0BF62404"/>
    <w:lvl w:ilvl="0" w:tplc="B58C70E2">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5F004737"/>
    <w:multiLevelType w:val="hybridMultilevel"/>
    <w:tmpl w:val="407EB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C023C9D"/>
    <w:multiLevelType w:val="hybridMultilevel"/>
    <w:tmpl w:val="6A2463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7FC038C8"/>
    <w:multiLevelType w:val="hybridMultilevel"/>
    <w:tmpl w:val="92DA46D0"/>
    <w:lvl w:ilvl="0" w:tplc="D21E873C">
      <w:start w:val="1"/>
      <w:numFmt w:val="bullet"/>
      <w:lvlText w:val=""/>
      <w:lvlJc w:val="left"/>
      <w:pPr>
        <w:ind w:left="720" w:hanging="360"/>
      </w:pPr>
      <w:rPr>
        <w:rFonts w:ascii="Symbol" w:eastAsiaTheme="minorHAnsi" w:hAnsi="Symbol" w:cs="Arial"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0"/>
  </w:num>
  <w:num w:numId="5">
    <w:abstractNumId w:val="3"/>
  </w:num>
  <w:num w:numId="6">
    <w:abstractNumId w:val="13"/>
  </w:num>
  <w:num w:numId="7">
    <w:abstractNumId w:val="6"/>
  </w:num>
  <w:num w:numId="8">
    <w:abstractNumId w:val="5"/>
  </w:num>
  <w:num w:numId="9">
    <w:abstractNumId w:val="10"/>
  </w:num>
  <w:num w:numId="10">
    <w:abstractNumId w:val="9"/>
  </w:num>
  <w:num w:numId="11">
    <w:abstractNumId w:val="11"/>
  </w:num>
  <w:num w:numId="12">
    <w:abstractNumId w:val="1"/>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C7"/>
    <w:rsid w:val="000015F2"/>
    <w:rsid w:val="00003A71"/>
    <w:rsid w:val="00003E64"/>
    <w:rsid w:val="00003F59"/>
    <w:rsid w:val="00005444"/>
    <w:rsid w:val="00005BEB"/>
    <w:rsid w:val="000103BF"/>
    <w:rsid w:val="00010460"/>
    <w:rsid w:val="00017150"/>
    <w:rsid w:val="000278C0"/>
    <w:rsid w:val="00032E7D"/>
    <w:rsid w:val="00035CC9"/>
    <w:rsid w:val="00036812"/>
    <w:rsid w:val="0003779D"/>
    <w:rsid w:val="000448B0"/>
    <w:rsid w:val="0004677F"/>
    <w:rsid w:val="00046EEA"/>
    <w:rsid w:val="0005079B"/>
    <w:rsid w:val="00057384"/>
    <w:rsid w:val="000574A4"/>
    <w:rsid w:val="00061835"/>
    <w:rsid w:val="0006224B"/>
    <w:rsid w:val="000637B2"/>
    <w:rsid w:val="00066296"/>
    <w:rsid w:val="00067770"/>
    <w:rsid w:val="00075495"/>
    <w:rsid w:val="00084064"/>
    <w:rsid w:val="00084927"/>
    <w:rsid w:val="00090EFE"/>
    <w:rsid w:val="000917C4"/>
    <w:rsid w:val="000938DE"/>
    <w:rsid w:val="00093B36"/>
    <w:rsid w:val="00094360"/>
    <w:rsid w:val="000956A9"/>
    <w:rsid w:val="00097F3F"/>
    <w:rsid w:val="000A21F0"/>
    <w:rsid w:val="000A2687"/>
    <w:rsid w:val="000B62A1"/>
    <w:rsid w:val="000B643C"/>
    <w:rsid w:val="000B69F5"/>
    <w:rsid w:val="000B6DA8"/>
    <w:rsid w:val="000C2120"/>
    <w:rsid w:val="000C391A"/>
    <w:rsid w:val="000C4DFB"/>
    <w:rsid w:val="000C61CC"/>
    <w:rsid w:val="000C633A"/>
    <w:rsid w:val="000D0675"/>
    <w:rsid w:val="000D1B17"/>
    <w:rsid w:val="000E143E"/>
    <w:rsid w:val="000E3AE5"/>
    <w:rsid w:val="000E7B51"/>
    <w:rsid w:val="000F03EA"/>
    <w:rsid w:val="000F06C7"/>
    <w:rsid w:val="000F38E6"/>
    <w:rsid w:val="00101187"/>
    <w:rsid w:val="001039BA"/>
    <w:rsid w:val="00106194"/>
    <w:rsid w:val="001120AF"/>
    <w:rsid w:val="00115807"/>
    <w:rsid w:val="001160F4"/>
    <w:rsid w:val="00116937"/>
    <w:rsid w:val="00116CD4"/>
    <w:rsid w:val="001179E0"/>
    <w:rsid w:val="00117AD9"/>
    <w:rsid w:val="00130687"/>
    <w:rsid w:val="00132FD9"/>
    <w:rsid w:val="0013309F"/>
    <w:rsid w:val="00135F55"/>
    <w:rsid w:val="00136DE4"/>
    <w:rsid w:val="001376D5"/>
    <w:rsid w:val="00144625"/>
    <w:rsid w:val="00147DDC"/>
    <w:rsid w:val="00150EC9"/>
    <w:rsid w:val="00160952"/>
    <w:rsid w:val="001653F6"/>
    <w:rsid w:val="00165A6F"/>
    <w:rsid w:val="001666D3"/>
    <w:rsid w:val="0017128C"/>
    <w:rsid w:val="001725AF"/>
    <w:rsid w:val="00177030"/>
    <w:rsid w:val="00177B03"/>
    <w:rsid w:val="00177B11"/>
    <w:rsid w:val="00183072"/>
    <w:rsid w:val="0018430C"/>
    <w:rsid w:val="001A18AC"/>
    <w:rsid w:val="001A65C3"/>
    <w:rsid w:val="001A72C8"/>
    <w:rsid w:val="001A7A1A"/>
    <w:rsid w:val="001B3C71"/>
    <w:rsid w:val="001B542E"/>
    <w:rsid w:val="001B6787"/>
    <w:rsid w:val="001C17AB"/>
    <w:rsid w:val="001C2D37"/>
    <w:rsid w:val="001C35AF"/>
    <w:rsid w:val="001C4FD4"/>
    <w:rsid w:val="001D266F"/>
    <w:rsid w:val="001D278C"/>
    <w:rsid w:val="001D2FBD"/>
    <w:rsid w:val="001D5F58"/>
    <w:rsid w:val="001F070C"/>
    <w:rsid w:val="001F2CC2"/>
    <w:rsid w:val="001F39E0"/>
    <w:rsid w:val="001F3BEF"/>
    <w:rsid w:val="001F47D0"/>
    <w:rsid w:val="001F5127"/>
    <w:rsid w:val="001F7242"/>
    <w:rsid w:val="00212615"/>
    <w:rsid w:val="00213C31"/>
    <w:rsid w:val="00217136"/>
    <w:rsid w:val="002209B9"/>
    <w:rsid w:val="00223F76"/>
    <w:rsid w:val="002242B4"/>
    <w:rsid w:val="00225942"/>
    <w:rsid w:val="00235DF5"/>
    <w:rsid w:val="00241C04"/>
    <w:rsid w:val="00245B87"/>
    <w:rsid w:val="00252405"/>
    <w:rsid w:val="0025766A"/>
    <w:rsid w:val="00260E3E"/>
    <w:rsid w:val="00261DD0"/>
    <w:rsid w:val="00270D4C"/>
    <w:rsid w:val="00283248"/>
    <w:rsid w:val="00290819"/>
    <w:rsid w:val="00291EAC"/>
    <w:rsid w:val="00295DA8"/>
    <w:rsid w:val="002A0B36"/>
    <w:rsid w:val="002A0B78"/>
    <w:rsid w:val="002A1051"/>
    <w:rsid w:val="002A10D2"/>
    <w:rsid w:val="002A1715"/>
    <w:rsid w:val="002A2BE3"/>
    <w:rsid w:val="002A35B2"/>
    <w:rsid w:val="002A7017"/>
    <w:rsid w:val="002B2755"/>
    <w:rsid w:val="002B3627"/>
    <w:rsid w:val="002B62F4"/>
    <w:rsid w:val="002B7804"/>
    <w:rsid w:val="002B7EB7"/>
    <w:rsid w:val="002C1B51"/>
    <w:rsid w:val="002C60E3"/>
    <w:rsid w:val="002C7E6C"/>
    <w:rsid w:val="002D1523"/>
    <w:rsid w:val="002D28CD"/>
    <w:rsid w:val="002D443B"/>
    <w:rsid w:val="002D7987"/>
    <w:rsid w:val="002E00E6"/>
    <w:rsid w:val="002F073C"/>
    <w:rsid w:val="00307301"/>
    <w:rsid w:val="00310405"/>
    <w:rsid w:val="00312DCB"/>
    <w:rsid w:val="003177F0"/>
    <w:rsid w:val="0032116E"/>
    <w:rsid w:val="003215CB"/>
    <w:rsid w:val="00332EBB"/>
    <w:rsid w:val="00332ED5"/>
    <w:rsid w:val="00333653"/>
    <w:rsid w:val="00333A0F"/>
    <w:rsid w:val="00334402"/>
    <w:rsid w:val="003357DF"/>
    <w:rsid w:val="003408CC"/>
    <w:rsid w:val="00341A73"/>
    <w:rsid w:val="003448F3"/>
    <w:rsid w:val="00345F09"/>
    <w:rsid w:val="003462B4"/>
    <w:rsid w:val="00350162"/>
    <w:rsid w:val="00351B32"/>
    <w:rsid w:val="00351D21"/>
    <w:rsid w:val="00354732"/>
    <w:rsid w:val="0035550C"/>
    <w:rsid w:val="003557D9"/>
    <w:rsid w:val="003575D1"/>
    <w:rsid w:val="00361C9E"/>
    <w:rsid w:val="00363A24"/>
    <w:rsid w:val="00365741"/>
    <w:rsid w:val="00370215"/>
    <w:rsid w:val="003707ED"/>
    <w:rsid w:val="003747AD"/>
    <w:rsid w:val="0037655D"/>
    <w:rsid w:val="00391260"/>
    <w:rsid w:val="00394920"/>
    <w:rsid w:val="003959B5"/>
    <w:rsid w:val="00396B8E"/>
    <w:rsid w:val="003A1DC6"/>
    <w:rsid w:val="003A6706"/>
    <w:rsid w:val="003B03EA"/>
    <w:rsid w:val="003B0597"/>
    <w:rsid w:val="003B1A70"/>
    <w:rsid w:val="003B1AD7"/>
    <w:rsid w:val="003B4725"/>
    <w:rsid w:val="003B548A"/>
    <w:rsid w:val="003C726D"/>
    <w:rsid w:val="003D06EF"/>
    <w:rsid w:val="003D13B3"/>
    <w:rsid w:val="003D2CB6"/>
    <w:rsid w:val="003E561B"/>
    <w:rsid w:val="003E69A9"/>
    <w:rsid w:val="003E7036"/>
    <w:rsid w:val="003E70DD"/>
    <w:rsid w:val="003F0124"/>
    <w:rsid w:val="003F183F"/>
    <w:rsid w:val="003F4605"/>
    <w:rsid w:val="00400214"/>
    <w:rsid w:val="004015BA"/>
    <w:rsid w:val="004056D6"/>
    <w:rsid w:val="00406F1C"/>
    <w:rsid w:val="00416285"/>
    <w:rsid w:val="004168EC"/>
    <w:rsid w:val="00417608"/>
    <w:rsid w:val="00421CC3"/>
    <w:rsid w:val="00421DEE"/>
    <w:rsid w:val="004231A0"/>
    <w:rsid w:val="004245C5"/>
    <w:rsid w:val="00431639"/>
    <w:rsid w:val="00440426"/>
    <w:rsid w:val="00441C72"/>
    <w:rsid w:val="00442039"/>
    <w:rsid w:val="00444083"/>
    <w:rsid w:val="004462B6"/>
    <w:rsid w:val="00455BF2"/>
    <w:rsid w:val="00461CB0"/>
    <w:rsid w:val="00463659"/>
    <w:rsid w:val="004642D1"/>
    <w:rsid w:val="00473FB0"/>
    <w:rsid w:val="00474968"/>
    <w:rsid w:val="00483666"/>
    <w:rsid w:val="00485CD9"/>
    <w:rsid w:val="004866A9"/>
    <w:rsid w:val="00486E4B"/>
    <w:rsid w:val="0049206E"/>
    <w:rsid w:val="004A1ACB"/>
    <w:rsid w:val="004A53B8"/>
    <w:rsid w:val="004B49FA"/>
    <w:rsid w:val="004B727C"/>
    <w:rsid w:val="004C0AF8"/>
    <w:rsid w:val="004C254F"/>
    <w:rsid w:val="004C3167"/>
    <w:rsid w:val="004C3835"/>
    <w:rsid w:val="004C3A0D"/>
    <w:rsid w:val="004C3C03"/>
    <w:rsid w:val="004D6806"/>
    <w:rsid w:val="004D68BA"/>
    <w:rsid w:val="004E2264"/>
    <w:rsid w:val="004E4FB4"/>
    <w:rsid w:val="004F0889"/>
    <w:rsid w:val="004F263A"/>
    <w:rsid w:val="004F322F"/>
    <w:rsid w:val="00507797"/>
    <w:rsid w:val="0051244F"/>
    <w:rsid w:val="00514579"/>
    <w:rsid w:val="0051519A"/>
    <w:rsid w:val="00515A2B"/>
    <w:rsid w:val="00515D64"/>
    <w:rsid w:val="005200EF"/>
    <w:rsid w:val="0052787D"/>
    <w:rsid w:val="00527919"/>
    <w:rsid w:val="00531138"/>
    <w:rsid w:val="005331FB"/>
    <w:rsid w:val="005356EC"/>
    <w:rsid w:val="00536BB6"/>
    <w:rsid w:val="005400E7"/>
    <w:rsid w:val="0054399D"/>
    <w:rsid w:val="0054431F"/>
    <w:rsid w:val="00544CA0"/>
    <w:rsid w:val="00552AF8"/>
    <w:rsid w:val="00553FCF"/>
    <w:rsid w:val="00554FB3"/>
    <w:rsid w:val="0056066B"/>
    <w:rsid w:val="005606B2"/>
    <w:rsid w:val="00563215"/>
    <w:rsid w:val="005662D8"/>
    <w:rsid w:val="00566D76"/>
    <w:rsid w:val="00571576"/>
    <w:rsid w:val="00572EBF"/>
    <w:rsid w:val="00582BDD"/>
    <w:rsid w:val="00586AEC"/>
    <w:rsid w:val="00593A51"/>
    <w:rsid w:val="005A01F9"/>
    <w:rsid w:val="005A1B2C"/>
    <w:rsid w:val="005A3520"/>
    <w:rsid w:val="005A718F"/>
    <w:rsid w:val="005B32C5"/>
    <w:rsid w:val="005B3E87"/>
    <w:rsid w:val="005B476B"/>
    <w:rsid w:val="005B4E9D"/>
    <w:rsid w:val="005B77AC"/>
    <w:rsid w:val="005C3DB3"/>
    <w:rsid w:val="005C6D0D"/>
    <w:rsid w:val="005D20FD"/>
    <w:rsid w:val="005D3974"/>
    <w:rsid w:val="005D4A34"/>
    <w:rsid w:val="005E0081"/>
    <w:rsid w:val="005E4647"/>
    <w:rsid w:val="005E767C"/>
    <w:rsid w:val="005F77D9"/>
    <w:rsid w:val="005F78D3"/>
    <w:rsid w:val="00602C27"/>
    <w:rsid w:val="00605351"/>
    <w:rsid w:val="00605A96"/>
    <w:rsid w:val="0060680D"/>
    <w:rsid w:val="00612370"/>
    <w:rsid w:val="00614462"/>
    <w:rsid w:val="0061789E"/>
    <w:rsid w:val="00617ED8"/>
    <w:rsid w:val="0062105B"/>
    <w:rsid w:val="00627C52"/>
    <w:rsid w:val="00631C45"/>
    <w:rsid w:val="0063331E"/>
    <w:rsid w:val="0063368A"/>
    <w:rsid w:val="00633812"/>
    <w:rsid w:val="00635353"/>
    <w:rsid w:val="00635469"/>
    <w:rsid w:val="00635B8A"/>
    <w:rsid w:val="006425CF"/>
    <w:rsid w:val="00643CF5"/>
    <w:rsid w:val="00645751"/>
    <w:rsid w:val="00647A1C"/>
    <w:rsid w:val="00650D44"/>
    <w:rsid w:val="00651297"/>
    <w:rsid w:val="00651A57"/>
    <w:rsid w:val="00652B0F"/>
    <w:rsid w:val="00653834"/>
    <w:rsid w:val="00654065"/>
    <w:rsid w:val="00655EDC"/>
    <w:rsid w:val="006568A6"/>
    <w:rsid w:val="0065708E"/>
    <w:rsid w:val="00657654"/>
    <w:rsid w:val="00660C36"/>
    <w:rsid w:val="00665288"/>
    <w:rsid w:val="00665D3C"/>
    <w:rsid w:val="0067046E"/>
    <w:rsid w:val="00673FD8"/>
    <w:rsid w:val="0067670E"/>
    <w:rsid w:val="00676F38"/>
    <w:rsid w:val="00681B31"/>
    <w:rsid w:val="006839F1"/>
    <w:rsid w:val="00683D69"/>
    <w:rsid w:val="00685D4D"/>
    <w:rsid w:val="00685FD4"/>
    <w:rsid w:val="006A03AD"/>
    <w:rsid w:val="006A46FD"/>
    <w:rsid w:val="006B024F"/>
    <w:rsid w:val="006B3023"/>
    <w:rsid w:val="006B36EB"/>
    <w:rsid w:val="006B5263"/>
    <w:rsid w:val="006C4217"/>
    <w:rsid w:val="006C56AE"/>
    <w:rsid w:val="006D24BA"/>
    <w:rsid w:val="006D7248"/>
    <w:rsid w:val="006E6CC8"/>
    <w:rsid w:val="006E7E2A"/>
    <w:rsid w:val="006F7A4E"/>
    <w:rsid w:val="00704684"/>
    <w:rsid w:val="00707D4F"/>
    <w:rsid w:val="00710E7D"/>
    <w:rsid w:val="007110E6"/>
    <w:rsid w:val="00711266"/>
    <w:rsid w:val="007143BB"/>
    <w:rsid w:val="0071617B"/>
    <w:rsid w:val="007218AE"/>
    <w:rsid w:val="00722F0E"/>
    <w:rsid w:val="0072331D"/>
    <w:rsid w:val="00725837"/>
    <w:rsid w:val="007261EB"/>
    <w:rsid w:val="0073071B"/>
    <w:rsid w:val="00730776"/>
    <w:rsid w:val="007318DC"/>
    <w:rsid w:val="00732C82"/>
    <w:rsid w:val="007330AE"/>
    <w:rsid w:val="007365FA"/>
    <w:rsid w:val="007375B6"/>
    <w:rsid w:val="007376CC"/>
    <w:rsid w:val="00742C89"/>
    <w:rsid w:val="00744951"/>
    <w:rsid w:val="007504F5"/>
    <w:rsid w:val="00750DD7"/>
    <w:rsid w:val="007545E9"/>
    <w:rsid w:val="00755251"/>
    <w:rsid w:val="00755A0F"/>
    <w:rsid w:val="00760D72"/>
    <w:rsid w:val="0076283A"/>
    <w:rsid w:val="0077300B"/>
    <w:rsid w:val="007730F7"/>
    <w:rsid w:val="00774004"/>
    <w:rsid w:val="0077406F"/>
    <w:rsid w:val="00774664"/>
    <w:rsid w:val="00774B2D"/>
    <w:rsid w:val="00776ED7"/>
    <w:rsid w:val="00781F83"/>
    <w:rsid w:val="007863B0"/>
    <w:rsid w:val="00792B42"/>
    <w:rsid w:val="0079358F"/>
    <w:rsid w:val="00797C35"/>
    <w:rsid w:val="007A1056"/>
    <w:rsid w:val="007A1890"/>
    <w:rsid w:val="007A2EC7"/>
    <w:rsid w:val="007A57D4"/>
    <w:rsid w:val="007A5CF1"/>
    <w:rsid w:val="007B2243"/>
    <w:rsid w:val="007B5BCC"/>
    <w:rsid w:val="007C1D3C"/>
    <w:rsid w:val="007D1941"/>
    <w:rsid w:val="007E64DD"/>
    <w:rsid w:val="007F46E1"/>
    <w:rsid w:val="007F558A"/>
    <w:rsid w:val="008007FA"/>
    <w:rsid w:val="00804461"/>
    <w:rsid w:val="00807664"/>
    <w:rsid w:val="00811897"/>
    <w:rsid w:val="008212C7"/>
    <w:rsid w:val="0082460E"/>
    <w:rsid w:val="008264D3"/>
    <w:rsid w:val="00826DD2"/>
    <w:rsid w:val="008279AE"/>
    <w:rsid w:val="0083263C"/>
    <w:rsid w:val="00833342"/>
    <w:rsid w:val="00835ADA"/>
    <w:rsid w:val="008433E0"/>
    <w:rsid w:val="00845253"/>
    <w:rsid w:val="00847953"/>
    <w:rsid w:val="008522AC"/>
    <w:rsid w:val="00852D44"/>
    <w:rsid w:val="00853990"/>
    <w:rsid w:val="008568F6"/>
    <w:rsid w:val="008710C1"/>
    <w:rsid w:val="008721E7"/>
    <w:rsid w:val="00873249"/>
    <w:rsid w:val="0088239C"/>
    <w:rsid w:val="00882EB5"/>
    <w:rsid w:val="00883488"/>
    <w:rsid w:val="00886E8B"/>
    <w:rsid w:val="0089587C"/>
    <w:rsid w:val="00896538"/>
    <w:rsid w:val="00897AE8"/>
    <w:rsid w:val="008A026B"/>
    <w:rsid w:val="008A41EC"/>
    <w:rsid w:val="008A55F3"/>
    <w:rsid w:val="008B3A65"/>
    <w:rsid w:val="008B5DC0"/>
    <w:rsid w:val="008C19C3"/>
    <w:rsid w:val="008C235F"/>
    <w:rsid w:val="008C3F20"/>
    <w:rsid w:val="008C4794"/>
    <w:rsid w:val="008C5466"/>
    <w:rsid w:val="008D4DC3"/>
    <w:rsid w:val="008D5252"/>
    <w:rsid w:val="008E1E81"/>
    <w:rsid w:val="008E50C7"/>
    <w:rsid w:val="008E586F"/>
    <w:rsid w:val="008F1539"/>
    <w:rsid w:val="0090226F"/>
    <w:rsid w:val="00903BDC"/>
    <w:rsid w:val="00905EEA"/>
    <w:rsid w:val="00906C61"/>
    <w:rsid w:val="00907CAE"/>
    <w:rsid w:val="0091032F"/>
    <w:rsid w:val="009143A6"/>
    <w:rsid w:val="00914923"/>
    <w:rsid w:val="00915147"/>
    <w:rsid w:val="00925090"/>
    <w:rsid w:val="00925AE1"/>
    <w:rsid w:val="0092685A"/>
    <w:rsid w:val="00931D7A"/>
    <w:rsid w:val="00935222"/>
    <w:rsid w:val="00936586"/>
    <w:rsid w:val="00936C80"/>
    <w:rsid w:val="0094394C"/>
    <w:rsid w:val="00951026"/>
    <w:rsid w:val="009546CA"/>
    <w:rsid w:val="00955A3A"/>
    <w:rsid w:val="00965279"/>
    <w:rsid w:val="00965BE0"/>
    <w:rsid w:val="00967BB9"/>
    <w:rsid w:val="009702E3"/>
    <w:rsid w:val="0097569F"/>
    <w:rsid w:val="00977101"/>
    <w:rsid w:val="009772BB"/>
    <w:rsid w:val="00986D7E"/>
    <w:rsid w:val="0099039B"/>
    <w:rsid w:val="00994519"/>
    <w:rsid w:val="00995C68"/>
    <w:rsid w:val="009A0438"/>
    <w:rsid w:val="009A429D"/>
    <w:rsid w:val="009A4954"/>
    <w:rsid w:val="009A6ED8"/>
    <w:rsid w:val="009B0040"/>
    <w:rsid w:val="009B14FB"/>
    <w:rsid w:val="009B1537"/>
    <w:rsid w:val="009B1C85"/>
    <w:rsid w:val="009B27F8"/>
    <w:rsid w:val="009B6531"/>
    <w:rsid w:val="009C5032"/>
    <w:rsid w:val="009C6F70"/>
    <w:rsid w:val="009D09C9"/>
    <w:rsid w:val="009D1BA7"/>
    <w:rsid w:val="009D5C10"/>
    <w:rsid w:val="009D5CB8"/>
    <w:rsid w:val="009E00D7"/>
    <w:rsid w:val="009E2856"/>
    <w:rsid w:val="009E2FE6"/>
    <w:rsid w:val="009E6085"/>
    <w:rsid w:val="009E74AC"/>
    <w:rsid w:val="009F3C1B"/>
    <w:rsid w:val="009F3CD8"/>
    <w:rsid w:val="009F44E6"/>
    <w:rsid w:val="00A01A91"/>
    <w:rsid w:val="00A02FE7"/>
    <w:rsid w:val="00A0435E"/>
    <w:rsid w:val="00A056EA"/>
    <w:rsid w:val="00A05718"/>
    <w:rsid w:val="00A07697"/>
    <w:rsid w:val="00A10E05"/>
    <w:rsid w:val="00A12911"/>
    <w:rsid w:val="00A13C29"/>
    <w:rsid w:val="00A1489C"/>
    <w:rsid w:val="00A17482"/>
    <w:rsid w:val="00A175DA"/>
    <w:rsid w:val="00A17F90"/>
    <w:rsid w:val="00A22816"/>
    <w:rsid w:val="00A23479"/>
    <w:rsid w:val="00A242A8"/>
    <w:rsid w:val="00A25B51"/>
    <w:rsid w:val="00A27237"/>
    <w:rsid w:val="00A30F18"/>
    <w:rsid w:val="00A4431F"/>
    <w:rsid w:val="00A47CBC"/>
    <w:rsid w:val="00A5026B"/>
    <w:rsid w:val="00A55984"/>
    <w:rsid w:val="00A571FE"/>
    <w:rsid w:val="00A618F3"/>
    <w:rsid w:val="00A622BE"/>
    <w:rsid w:val="00A63EE2"/>
    <w:rsid w:val="00A6418B"/>
    <w:rsid w:val="00A6483C"/>
    <w:rsid w:val="00A6503B"/>
    <w:rsid w:val="00A66D69"/>
    <w:rsid w:val="00A81BD4"/>
    <w:rsid w:val="00A877E5"/>
    <w:rsid w:val="00A90FD4"/>
    <w:rsid w:val="00A97BFD"/>
    <w:rsid w:val="00AA0634"/>
    <w:rsid w:val="00AA75FF"/>
    <w:rsid w:val="00AB4294"/>
    <w:rsid w:val="00AC12BA"/>
    <w:rsid w:val="00AC6E8D"/>
    <w:rsid w:val="00AC71DC"/>
    <w:rsid w:val="00AD2D51"/>
    <w:rsid w:val="00AE4458"/>
    <w:rsid w:val="00AE6937"/>
    <w:rsid w:val="00AF0F73"/>
    <w:rsid w:val="00AF3CCA"/>
    <w:rsid w:val="00AF4B57"/>
    <w:rsid w:val="00AF7CF9"/>
    <w:rsid w:val="00B004B4"/>
    <w:rsid w:val="00B01CDC"/>
    <w:rsid w:val="00B02E10"/>
    <w:rsid w:val="00B03136"/>
    <w:rsid w:val="00B06F38"/>
    <w:rsid w:val="00B111C7"/>
    <w:rsid w:val="00B204F2"/>
    <w:rsid w:val="00B21432"/>
    <w:rsid w:val="00B21D17"/>
    <w:rsid w:val="00B21F3B"/>
    <w:rsid w:val="00B26F4D"/>
    <w:rsid w:val="00B305E8"/>
    <w:rsid w:val="00B30EF1"/>
    <w:rsid w:val="00B36360"/>
    <w:rsid w:val="00B44D0F"/>
    <w:rsid w:val="00B46C76"/>
    <w:rsid w:val="00B47C84"/>
    <w:rsid w:val="00B50C6F"/>
    <w:rsid w:val="00B5565F"/>
    <w:rsid w:val="00B55973"/>
    <w:rsid w:val="00B55F07"/>
    <w:rsid w:val="00B563C2"/>
    <w:rsid w:val="00B56572"/>
    <w:rsid w:val="00B56B6A"/>
    <w:rsid w:val="00B6486F"/>
    <w:rsid w:val="00B67691"/>
    <w:rsid w:val="00B718EE"/>
    <w:rsid w:val="00B72F4A"/>
    <w:rsid w:val="00B7372D"/>
    <w:rsid w:val="00B755F8"/>
    <w:rsid w:val="00B865CC"/>
    <w:rsid w:val="00B90228"/>
    <w:rsid w:val="00B95032"/>
    <w:rsid w:val="00B97199"/>
    <w:rsid w:val="00BA0C45"/>
    <w:rsid w:val="00BA525B"/>
    <w:rsid w:val="00BA7041"/>
    <w:rsid w:val="00BA77CD"/>
    <w:rsid w:val="00BB3DC1"/>
    <w:rsid w:val="00BB3E1D"/>
    <w:rsid w:val="00BB465A"/>
    <w:rsid w:val="00BC01B7"/>
    <w:rsid w:val="00BC0C7E"/>
    <w:rsid w:val="00BC4282"/>
    <w:rsid w:val="00BC45E0"/>
    <w:rsid w:val="00BC73AE"/>
    <w:rsid w:val="00BD124B"/>
    <w:rsid w:val="00BD3AA8"/>
    <w:rsid w:val="00BD5480"/>
    <w:rsid w:val="00BE0D10"/>
    <w:rsid w:val="00BE0E24"/>
    <w:rsid w:val="00BE1178"/>
    <w:rsid w:val="00BE5EE6"/>
    <w:rsid w:val="00BF2271"/>
    <w:rsid w:val="00C00811"/>
    <w:rsid w:val="00C012F7"/>
    <w:rsid w:val="00C03846"/>
    <w:rsid w:val="00C04566"/>
    <w:rsid w:val="00C06178"/>
    <w:rsid w:val="00C10AB9"/>
    <w:rsid w:val="00C110D4"/>
    <w:rsid w:val="00C115EB"/>
    <w:rsid w:val="00C11D63"/>
    <w:rsid w:val="00C12E05"/>
    <w:rsid w:val="00C13D93"/>
    <w:rsid w:val="00C14305"/>
    <w:rsid w:val="00C14DA9"/>
    <w:rsid w:val="00C161BA"/>
    <w:rsid w:val="00C17741"/>
    <w:rsid w:val="00C2427A"/>
    <w:rsid w:val="00C32515"/>
    <w:rsid w:val="00C362FE"/>
    <w:rsid w:val="00C37914"/>
    <w:rsid w:val="00C37E20"/>
    <w:rsid w:val="00C40E84"/>
    <w:rsid w:val="00C41DE8"/>
    <w:rsid w:val="00C43094"/>
    <w:rsid w:val="00C447E3"/>
    <w:rsid w:val="00C4543D"/>
    <w:rsid w:val="00C50E13"/>
    <w:rsid w:val="00C54E02"/>
    <w:rsid w:val="00C615EE"/>
    <w:rsid w:val="00C61C72"/>
    <w:rsid w:val="00C63927"/>
    <w:rsid w:val="00C677BE"/>
    <w:rsid w:val="00C6780D"/>
    <w:rsid w:val="00C67911"/>
    <w:rsid w:val="00C76B9C"/>
    <w:rsid w:val="00C81AC0"/>
    <w:rsid w:val="00C830D0"/>
    <w:rsid w:val="00C83168"/>
    <w:rsid w:val="00C832B7"/>
    <w:rsid w:val="00C8627E"/>
    <w:rsid w:val="00C87711"/>
    <w:rsid w:val="00C929AB"/>
    <w:rsid w:val="00C9415F"/>
    <w:rsid w:val="00C9455B"/>
    <w:rsid w:val="00C95527"/>
    <w:rsid w:val="00CA17B8"/>
    <w:rsid w:val="00CA49BD"/>
    <w:rsid w:val="00CA53D6"/>
    <w:rsid w:val="00CA7B42"/>
    <w:rsid w:val="00CB4C08"/>
    <w:rsid w:val="00CB7663"/>
    <w:rsid w:val="00CC3FED"/>
    <w:rsid w:val="00CC504A"/>
    <w:rsid w:val="00CC5E7A"/>
    <w:rsid w:val="00CD59A2"/>
    <w:rsid w:val="00CD5DBB"/>
    <w:rsid w:val="00CD6ABC"/>
    <w:rsid w:val="00CE07A9"/>
    <w:rsid w:val="00CF0575"/>
    <w:rsid w:val="00CF2AEC"/>
    <w:rsid w:val="00CF402B"/>
    <w:rsid w:val="00CF6632"/>
    <w:rsid w:val="00CF7A65"/>
    <w:rsid w:val="00D014EB"/>
    <w:rsid w:val="00D04B7A"/>
    <w:rsid w:val="00D05A09"/>
    <w:rsid w:val="00D162C8"/>
    <w:rsid w:val="00D163FA"/>
    <w:rsid w:val="00D241D5"/>
    <w:rsid w:val="00D3052C"/>
    <w:rsid w:val="00D30FED"/>
    <w:rsid w:val="00D320C6"/>
    <w:rsid w:val="00D4196D"/>
    <w:rsid w:val="00D41A4B"/>
    <w:rsid w:val="00D44192"/>
    <w:rsid w:val="00D45EE7"/>
    <w:rsid w:val="00D47B88"/>
    <w:rsid w:val="00D53A74"/>
    <w:rsid w:val="00D6104C"/>
    <w:rsid w:val="00D65358"/>
    <w:rsid w:val="00D71FD7"/>
    <w:rsid w:val="00D72703"/>
    <w:rsid w:val="00D72DA2"/>
    <w:rsid w:val="00D762A5"/>
    <w:rsid w:val="00D8205A"/>
    <w:rsid w:val="00D83C5F"/>
    <w:rsid w:val="00D8626D"/>
    <w:rsid w:val="00D875BD"/>
    <w:rsid w:val="00D94503"/>
    <w:rsid w:val="00DA0C12"/>
    <w:rsid w:val="00DA1385"/>
    <w:rsid w:val="00DA1403"/>
    <w:rsid w:val="00DA172F"/>
    <w:rsid w:val="00DA2158"/>
    <w:rsid w:val="00DA724E"/>
    <w:rsid w:val="00DB278C"/>
    <w:rsid w:val="00DB3410"/>
    <w:rsid w:val="00DB34ED"/>
    <w:rsid w:val="00DC40A3"/>
    <w:rsid w:val="00DC4B2F"/>
    <w:rsid w:val="00DC4CA8"/>
    <w:rsid w:val="00DC6CCA"/>
    <w:rsid w:val="00DD024C"/>
    <w:rsid w:val="00DD1BA7"/>
    <w:rsid w:val="00DD3425"/>
    <w:rsid w:val="00DD46B5"/>
    <w:rsid w:val="00DD5995"/>
    <w:rsid w:val="00DE21B5"/>
    <w:rsid w:val="00DE513E"/>
    <w:rsid w:val="00DF27ED"/>
    <w:rsid w:val="00DF3C14"/>
    <w:rsid w:val="00DF7F2A"/>
    <w:rsid w:val="00E039D7"/>
    <w:rsid w:val="00E0540D"/>
    <w:rsid w:val="00E05F58"/>
    <w:rsid w:val="00E1675C"/>
    <w:rsid w:val="00E20E74"/>
    <w:rsid w:val="00E26F7E"/>
    <w:rsid w:val="00E300DF"/>
    <w:rsid w:val="00E3186D"/>
    <w:rsid w:val="00E50784"/>
    <w:rsid w:val="00E5329E"/>
    <w:rsid w:val="00E67EEE"/>
    <w:rsid w:val="00E718EC"/>
    <w:rsid w:val="00E71ED8"/>
    <w:rsid w:val="00E744CC"/>
    <w:rsid w:val="00E75DFE"/>
    <w:rsid w:val="00E8419C"/>
    <w:rsid w:val="00E84C93"/>
    <w:rsid w:val="00E96CC4"/>
    <w:rsid w:val="00EA3083"/>
    <w:rsid w:val="00EA3981"/>
    <w:rsid w:val="00EA3C37"/>
    <w:rsid w:val="00EA4C71"/>
    <w:rsid w:val="00EA5068"/>
    <w:rsid w:val="00EA75EF"/>
    <w:rsid w:val="00EB2D08"/>
    <w:rsid w:val="00EB7EB7"/>
    <w:rsid w:val="00EC1494"/>
    <w:rsid w:val="00EC4374"/>
    <w:rsid w:val="00EC4BA0"/>
    <w:rsid w:val="00EC55B3"/>
    <w:rsid w:val="00EC6222"/>
    <w:rsid w:val="00ED7C06"/>
    <w:rsid w:val="00EE094A"/>
    <w:rsid w:val="00EE3330"/>
    <w:rsid w:val="00EF3E6D"/>
    <w:rsid w:val="00EF7743"/>
    <w:rsid w:val="00F03390"/>
    <w:rsid w:val="00F03F3F"/>
    <w:rsid w:val="00F075CF"/>
    <w:rsid w:val="00F13A39"/>
    <w:rsid w:val="00F157C4"/>
    <w:rsid w:val="00F15FE4"/>
    <w:rsid w:val="00F1606B"/>
    <w:rsid w:val="00F219FE"/>
    <w:rsid w:val="00F27518"/>
    <w:rsid w:val="00F31518"/>
    <w:rsid w:val="00F31820"/>
    <w:rsid w:val="00F34285"/>
    <w:rsid w:val="00F35C5C"/>
    <w:rsid w:val="00F421BF"/>
    <w:rsid w:val="00F43737"/>
    <w:rsid w:val="00F512D5"/>
    <w:rsid w:val="00F516BA"/>
    <w:rsid w:val="00F52515"/>
    <w:rsid w:val="00F5357E"/>
    <w:rsid w:val="00F57782"/>
    <w:rsid w:val="00F64B5E"/>
    <w:rsid w:val="00F7006C"/>
    <w:rsid w:val="00F74B46"/>
    <w:rsid w:val="00F814F6"/>
    <w:rsid w:val="00F84D84"/>
    <w:rsid w:val="00F8794C"/>
    <w:rsid w:val="00F9079A"/>
    <w:rsid w:val="00F924E1"/>
    <w:rsid w:val="00F927C0"/>
    <w:rsid w:val="00F92B80"/>
    <w:rsid w:val="00F932A7"/>
    <w:rsid w:val="00F96307"/>
    <w:rsid w:val="00F97361"/>
    <w:rsid w:val="00FA46A5"/>
    <w:rsid w:val="00FA54F3"/>
    <w:rsid w:val="00FA58A3"/>
    <w:rsid w:val="00FB13CF"/>
    <w:rsid w:val="00FB4802"/>
    <w:rsid w:val="00FB4BE9"/>
    <w:rsid w:val="00FB4C77"/>
    <w:rsid w:val="00FC115F"/>
    <w:rsid w:val="00FD2734"/>
    <w:rsid w:val="00FD3C31"/>
    <w:rsid w:val="00FD57C9"/>
    <w:rsid w:val="00FD604E"/>
    <w:rsid w:val="00FE1008"/>
    <w:rsid w:val="00FE1A91"/>
    <w:rsid w:val="00FE1EB6"/>
    <w:rsid w:val="00FE33A0"/>
    <w:rsid w:val="00FE7361"/>
    <w:rsid w:val="00FF073B"/>
    <w:rsid w:val="00FF4248"/>
    <w:rsid w:val="00FF43A3"/>
    <w:rsid w:val="00FF7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6D0D"/>
    <w:pPr>
      <w:keepNext/>
      <w:spacing w:after="0" w:line="240" w:lineRule="auto"/>
      <w:outlineLvl w:val="1"/>
    </w:pPr>
    <w:rPr>
      <w:rFonts w:ascii="Times New Roman" w:eastAsia="Times New Roman" w:hAnsi="Times New Roman" w:cs="Times New Roman"/>
      <w:b/>
      <w:bCs/>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1A91"/>
    <w:pPr>
      <w:ind w:left="720"/>
      <w:contextualSpacing/>
    </w:pPr>
  </w:style>
  <w:style w:type="paragraph" w:styleId="NormalWeb">
    <w:name w:val="Normal (Web)"/>
    <w:basedOn w:val="Normal"/>
    <w:uiPriority w:val="99"/>
    <w:unhideWhenUsed/>
    <w:rsid w:val="007B5BCC"/>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BB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A"/>
    <w:rPr>
      <w:rFonts w:ascii="Tahoma" w:hAnsi="Tahoma" w:cs="Tahoma"/>
      <w:sz w:val="16"/>
      <w:szCs w:val="16"/>
    </w:rPr>
  </w:style>
  <w:style w:type="table" w:customStyle="1" w:styleId="Muris">
    <w:name w:val="Muris"/>
    <w:basedOn w:val="TableTheme"/>
    <w:rsid w:val="00BB465A"/>
    <w:pPr>
      <w:spacing w:after="0" w:line="240" w:lineRule="auto"/>
      <w:jc w:val="center"/>
    </w:pPr>
    <w:rPr>
      <w:rFonts w:ascii="Arial" w:eastAsia="Times New Roman" w:hAnsi="Arial" w:cs="Times New Roman"/>
      <w:sz w:val="20"/>
      <w:szCs w:val="20"/>
      <w:lang w:val="en-US" w:eastAsia="en-US"/>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B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C6D0D"/>
    <w:rPr>
      <w:rFonts w:ascii="Times New Roman" w:eastAsia="Times New Roman" w:hAnsi="Times New Roman" w:cs="Times New Roman"/>
      <w:b/>
      <w:bCs/>
      <w:sz w:val="28"/>
      <w:szCs w:val="24"/>
      <w:lang w:val="sl-SI"/>
    </w:rPr>
  </w:style>
  <w:style w:type="character" w:customStyle="1" w:styleId="Heading1Char">
    <w:name w:val="Heading 1 Char"/>
    <w:basedOn w:val="DefaultParagraphFont"/>
    <w:link w:val="Heading1"/>
    <w:rsid w:val="005C6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06F"/>
  </w:style>
  <w:style w:type="paragraph" w:styleId="Footer">
    <w:name w:val="footer"/>
    <w:basedOn w:val="Normal"/>
    <w:link w:val="FooterChar"/>
    <w:uiPriority w:val="99"/>
    <w:unhideWhenUsed/>
    <w:rsid w:val="0077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06F"/>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B01CDC"/>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B01CDC"/>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B01CDC"/>
    <w:rPr>
      <w:vertAlign w:val="superscript"/>
    </w:rPr>
  </w:style>
  <w:style w:type="paragraph" w:customStyle="1" w:styleId="Default">
    <w:name w:val="Default"/>
    <w:rsid w:val="00807664"/>
    <w:pPr>
      <w:autoSpaceDE w:val="0"/>
      <w:autoSpaceDN w:val="0"/>
      <w:adjustRightInd w:val="0"/>
      <w:spacing w:after="0" w:line="240" w:lineRule="auto"/>
    </w:pPr>
    <w:rPr>
      <w:rFonts w:ascii="Calibri" w:hAnsi="Calibri" w:cs="Calibri"/>
      <w:color w:val="000000"/>
      <w:sz w:val="24"/>
      <w:szCs w:val="24"/>
    </w:rPr>
  </w:style>
  <w:style w:type="table" w:styleId="MediumShading1-Accent4">
    <w:name w:val="Medium Shading 1 Accent 4"/>
    <w:basedOn w:val="TableNormal"/>
    <w:uiPriority w:val="63"/>
    <w:rsid w:val="003E561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2-Accent1">
    <w:name w:val="Medium List 2 Accent 1"/>
    <w:basedOn w:val="TableNormal"/>
    <w:uiPriority w:val="66"/>
    <w:rsid w:val="008C479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C929AB"/>
    <w:rPr>
      <w:color w:val="0000FF"/>
      <w:u w:val="single"/>
    </w:rPr>
  </w:style>
  <w:style w:type="paragraph" w:styleId="TOC1">
    <w:name w:val="toc 1"/>
    <w:basedOn w:val="Normal"/>
    <w:next w:val="Normal"/>
    <w:autoRedefine/>
    <w:uiPriority w:val="39"/>
    <w:rsid w:val="00C929AB"/>
    <w:pPr>
      <w:spacing w:after="0" w:line="240" w:lineRule="auto"/>
    </w:pPr>
    <w:rPr>
      <w:rFonts w:ascii="Times New Roman" w:eastAsia="Times New Roman" w:hAnsi="Times New Roman" w:cs="Times New Roman"/>
      <w:sz w:val="24"/>
      <w:szCs w:val="24"/>
      <w:lang w:val="hr-HR" w:eastAsia="hr-HR"/>
    </w:rPr>
  </w:style>
  <w:style w:type="table" w:customStyle="1" w:styleId="LightShading-Accent11">
    <w:name w:val="Light Shading - Accent 11"/>
    <w:basedOn w:val="TableNormal"/>
    <w:uiPriority w:val="60"/>
    <w:rsid w:val="00936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365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42C89"/>
    <w:pPr>
      <w:spacing w:after="0" w:line="240" w:lineRule="auto"/>
    </w:pPr>
    <w:rPr>
      <w:rFonts w:ascii="Times New Roman" w:hAnsi="Times New Roman" w:cs="Times New Roman"/>
      <w:sz w:val="20"/>
      <w:szCs w:val="20"/>
      <w:lang w:val="hr-HR" w:eastAsia="hr-HR"/>
    </w:rPr>
  </w:style>
  <w:style w:type="character" w:customStyle="1" w:styleId="EndnoteTextChar">
    <w:name w:val="Endnote Text Char"/>
    <w:basedOn w:val="DefaultParagraphFont"/>
    <w:link w:val="EndnoteText"/>
    <w:uiPriority w:val="99"/>
    <w:semiHidden/>
    <w:rsid w:val="00742C89"/>
    <w:rPr>
      <w:rFonts w:ascii="Times New Roman" w:hAnsi="Times New Roman" w:cs="Times New Roman"/>
      <w:sz w:val="20"/>
      <w:szCs w:val="20"/>
      <w:lang w:val="hr-HR" w:eastAsia="hr-HR"/>
    </w:rPr>
  </w:style>
  <w:style w:type="table" w:customStyle="1" w:styleId="LightGrid1">
    <w:name w:val="Light Grid1"/>
    <w:basedOn w:val="TableNormal"/>
    <w:uiPriority w:val="62"/>
    <w:rsid w:val="007330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235DF5"/>
    <w:rPr>
      <w:b/>
      <w:bCs/>
    </w:rPr>
  </w:style>
  <w:style w:type="character" w:customStyle="1" w:styleId="apple-converted-space">
    <w:name w:val="apple-converted-space"/>
    <w:basedOn w:val="DefaultParagraphFont"/>
    <w:rsid w:val="00BB3E1D"/>
  </w:style>
  <w:style w:type="character" w:customStyle="1" w:styleId="ListParagraphChar">
    <w:name w:val="List Paragraph Char"/>
    <w:link w:val="ListParagraph"/>
    <w:uiPriority w:val="34"/>
    <w:locked/>
    <w:rsid w:val="00361C9E"/>
  </w:style>
  <w:style w:type="paragraph" w:styleId="TOCHeading">
    <w:name w:val="TOC Heading"/>
    <w:basedOn w:val="Heading1"/>
    <w:next w:val="Normal"/>
    <w:uiPriority w:val="39"/>
    <w:semiHidden/>
    <w:unhideWhenUsed/>
    <w:qFormat/>
    <w:rsid w:val="004168EC"/>
    <w:pPr>
      <w:outlineLvl w:val="9"/>
    </w:pPr>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6D0D"/>
    <w:pPr>
      <w:keepNext/>
      <w:spacing w:after="0" w:line="240" w:lineRule="auto"/>
      <w:outlineLvl w:val="1"/>
    </w:pPr>
    <w:rPr>
      <w:rFonts w:ascii="Times New Roman" w:eastAsia="Times New Roman" w:hAnsi="Times New Roman" w:cs="Times New Roman"/>
      <w:b/>
      <w:bCs/>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1A91"/>
    <w:pPr>
      <w:ind w:left="720"/>
      <w:contextualSpacing/>
    </w:pPr>
  </w:style>
  <w:style w:type="paragraph" w:styleId="NormalWeb">
    <w:name w:val="Normal (Web)"/>
    <w:basedOn w:val="Normal"/>
    <w:uiPriority w:val="99"/>
    <w:unhideWhenUsed/>
    <w:rsid w:val="007B5BCC"/>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BB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A"/>
    <w:rPr>
      <w:rFonts w:ascii="Tahoma" w:hAnsi="Tahoma" w:cs="Tahoma"/>
      <w:sz w:val="16"/>
      <w:szCs w:val="16"/>
    </w:rPr>
  </w:style>
  <w:style w:type="table" w:customStyle="1" w:styleId="Muris">
    <w:name w:val="Muris"/>
    <w:basedOn w:val="TableTheme"/>
    <w:rsid w:val="00BB465A"/>
    <w:pPr>
      <w:spacing w:after="0" w:line="240" w:lineRule="auto"/>
      <w:jc w:val="center"/>
    </w:pPr>
    <w:rPr>
      <w:rFonts w:ascii="Arial" w:eastAsia="Times New Roman" w:hAnsi="Arial" w:cs="Times New Roman"/>
      <w:sz w:val="20"/>
      <w:szCs w:val="20"/>
      <w:lang w:val="en-US" w:eastAsia="en-US"/>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B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C6D0D"/>
    <w:rPr>
      <w:rFonts w:ascii="Times New Roman" w:eastAsia="Times New Roman" w:hAnsi="Times New Roman" w:cs="Times New Roman"/>
      <w:b/>
      <w:bCs/>
      <w:sz w:val="28"/>
      <w:szCs w:val="24"/>
      <w:lang w:val="sl-SI"/>
    </w:rPr>
  </w:style>
  <w:style w:type="character" w:customStyle="1" w:styleId="Heading1Char">
    <w:name w:val="Heading 1 Char"/>
    <w:basedOn w:val="DefaultParagraphFont"/>
    <w:link w:val="Heading1"/>
    <w:rsid w:val="005C6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06F"/>
  </w:style>
  <w:style w:type="paragraph" w:styleId="Footer">
    <w:name w:val="footer"/>
    <w:basedOn w:val="Normal"/>
    <w:link w:val="FooterChar"/>
    <w:uiPriority w:val="99"/>
    <w:unhideWhenUsed/>
    <w:rsid w:val="0077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06F"/>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B01CDC"/>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B01CDC"/>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B01CDC"/>
    <w:rPr>
      <w:vertAlign w:val="superscript"/>
    </w:rPr>
  </w:style>
  <w:style w:type="paragraph" w:customStyle="1" w:styleId="Default">
    <w:name w:val="Default"/>
    <w:rsid w:val="00807664"/>
    <w:pPr>
      <w:autoSpaceDE w:val="0"/>
      <w:autoSpaceDN w:val="0"/>
      <w:adjustRightInd w:val="0"/>
      <w:spacing w:after="0" w:line="240" w:lineRule="auto"/>
    </w:pPr>
    <w:rPr>
      <w:rFonts w:ascii="Calibri" w:hAnsi="Calibri" w:cs="Calibri"/>
      <w:color w:val="000000"/>
      <w:sz w:val="24"/>
      <w:szCs w:val="24"/>
    </w:rPr>
  </w:style>
  <w:style w:type="table" w:styleId="MediumShading1-Accent4">
    <w:name w:val="Medium Shading 1 Accent 4"/>
    <w:basedOn w:val="TableNormal"/>
    <w:uiPriority w:val="63"/>
    <w:rsid w:val="003E561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2-Accent1">
    <w:name w:val="Medium List 2 Accent 1"/>
    <w:basedOn w:val="TableNormal"/>
    <w:uiPriority w:val="66"/>
    <w:rsid w:val="008C479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C929AB"/>
    <w:rPr>
      <w:color w:val="0000FF"/>
      <w:u w:val="single"/>
    </w:rPr>
  </w:style>
  <w:style w:type="paragraph" w:styleId="TOC1">
    <w:name w:val="toc 1"/>
    <w:basedOn w:val="Normal"/>
    <w:next w:val="Normal"/>
    <w:autoRedefine/>
    <w:uiPriority w:val="39"/>
    <w:rsid w:val="00C929AB"/>
    <w:pPr>
      <w:spacing w:after="0" w:line="240" w:lineRule="auto"/>
    </w:pPr>
    <w:rPr>
      <w:rFonts w:ascii="Times New Roman" w:eastAsia="Times New Roman" w:hAnsi="Times New Roman" w:cs="Times New Roman"/>
      <w:sz w:val="24"/>
      <w:szCs w:val="24"/>
      <w:lang w:val="hr-HR" w:eastAsia="hr-HR"/>
    </w:rPr>
  </w:style>
  <w:style w:type="table" w:customStyle="1" w:styleId="LightShading-Accent11">
    <w:name w:val="Light Shading - Accent 11"/>
    <w:basedOn w:val="TableNormal"/>
    <w:uiPriority w:val="60"/>
    <w:rsid w:val="00936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365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42C89"/>
    <w:pPr>
      <w:spacing w:after="0" w:line="240" w:lineRule="auto"/>
    </w:pPr>
    <w:rPr>
      <w:rFonts w:ascii="Times New Roman" w:hAnsi="Times New Roman" w:cs="Times New Roman"/>
      <w:sz w:val="20"/>
      <w:szCs w:val="20"/>
      <w:lang w:val="hr-HR" w:eastAsia="hr-HR"/>
    </w:rPr>
  </w:style>
  <w:style w:type="character" w:customStyle="1" w:styleId="EndnoteTextChar">
    <w:name w:val="Endnote Text Char"/>
    <w:basedOn w:val="DefaultParagraphFont"/>
    <w:link w:val="EndnoteText"/>
    <w:uiPriority w:val="99"/>
    <w:semiHidden/>
    <w:rsid w:val="00742C89"/>
    <w:rPr>
      <w:rFonts w:ascii="Times New Roman" w:hAnsi="Times New Roman" w:cs="Times New Roman"/>
      <w:sz w:val="20"/>
      <w:szCs w:val="20"/>
      <w:lang w:val="hr-HR" w:eastAsia="hr-HR"/>
    </w:rPr>
  </w:style>
  <w:style w:type="table" w:customStyle="1" w:styleId="LightGrid1">
    <w:name w:val="Light Grid1"/>
    <w:basedOn w:val="TableNormal"/>
    <w:uiPriority w:val="62"/>
    <w:rsid w:val="007330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235DF5"/>
    <w:rPr>
      <w:b/>
      <w:bCs/>
    </w:rPr>
  </w:style>
  <w:style w:type="character" w:customStyle="1" w:styleId="apple-converted-space">
    <w:name w:val="apple-converted-space"/>
    <w:basedOn w:val="DefaultParagraphFont"/>
    <w:rsid w:val="00BB3E1D"/>
  </w:style>
  <w:style w:type="character" w:customStyle="1" w:styleId="ListParagraphChar">
    <w:name w:val="List Paragraph Char"/>
    <w:link w:val="ListParagraph"/>
    <w:uiPriority w:val="34"/>
    <w:locked/>
    <w:rsid w:val="00361C9E"/>
  </w:style>
  <w:style w:type="paragraph" w:styleId="TOCHeading">
    <w:name w:val="TOC Heading"/>
    <w:basedOn w:val="Heading1"/>
    <w:next w:val="Normal"/>
    <w:uiPriority w:val="39"/>
    <w:semiHidden/>
    <w:unhideWhenUsed/>
    <w:qFormat/>
    <w:rsid w:val="004168EC"/>
    <w:pPr>
      <w:outlineLvl w:val="9"/>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6540">
      <w:bodyDiv w:val="1"/>
      <w:marLeft w:val="0"/>
      <w:marRight w:val="0"/>
      <w:marTop w:val="0"/>
      <w:marBottom w:val="0"/>
      <w:divBdr>
        <w:top w:val="none" w:sz="0" w:space="0" w:color="auto"/>
        <w:left w:val="none" w:sz="0" w:space="0" w:color="auto"/>
        <w:bottom w:val="none" w:sz="0" w:space="0" w:color="auto"/>
        <w:right w:val="none" w:sz="0" w:space="0" w:color="auto"/>
      </w:divBdr>
    </w:div>
    <w:div w:id="9907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charts/_rels/chart16.xml.rels><?xml version="1.0" encoding="UTF-8" standalone="yes"?>
<Relationships xmlns="http://schemas.openxmlformats.org/package/2006/relationships"><Relationship Id="rId1" Type="http://schemas.openxmlformats.org/officeDocument/2006/relationships/oleObject" Target="file:///C:\Users\Vesna\Desktop\kanton%2010%206-15\k1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esna\Desktop\kanton%2010%206-15\k10.xlsx" TargetMode="External"/></Relationships>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bs-Latn-BA" sz="1400" b="1" i="0" baseline="0">
                <a:solidFill>
                  <a:sysClr val="windowText" lastClr="000000"/>
                </a:solidFill>
                <a:effectLst/>
              </a:rPr>
              <a:t>Realizacija zakona u Skupštini K10</a:t>
            </a:r>
            <a:endParaRPr lang="bs-Latn-BA" sz="1400">
              <a:solidFill>
                <a:sysClr val="windowText" lastClr="000000"/>
              </a:solidFill>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Sheet18!$D$29</c:f>
              <c:strCache>
                <c:ptCount val="1"/>
                <c:pt idx="0">
                  <c:v>Prijedlozi</c:v>
                </c:pt>
              </c:strCache>
            </c:strRef>
          </c:tx>
          <c:invertIfNegative val="0"/>
          <c:dLbls>
            <c:spPr>
              <a:noFill/>
              <a:ln>
                <a:noFill/>
              </a:ln>
              <a:effectLst/>
            </c:spPr>
            <c:txPr>
              <a:bodyPr/>
              <a:lstStyle/>
              <a:p>
                <a:pPr>
                  <a:defRPr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Sheet18!$C$30:$C$36</c:f>
              <c:strCache>
                <c:ptCount val="5"/>
                <c:pt idx="0">
                  <c:v> I-VI 2011.</c:v>
                </c:pt>
                <c:pt idx="1">
                  <c:v> I-VI 2012.</c:v>
                </c:pt>
                <c:pt idx="2">
                  <c:v> I-VI 2013.</c:v>
                </c:pt>
                <c:pt idx="3">
                  <c:v> I-VI 2014.</c:v>
                </c:pt>
                <c:pt idx="4">
                  <c:v> I-VI 2015.</c:v>
                </c:pt>
              </c:strCache>
            </c:strRef>
          </c:cat>
          <c:val>
            <c:numRef>
              <c:f>Sheet18!$D$30:$D$36</c:f>
              <c:numCache>
                <c:formatCode>General</c:formatCode>
                <c:ptCount val="5"/>
                <c:pt idx="0">
                  <c:v>1</c:v>
                </c:pt>
                <c:pt idx="1">
                  <c:v>0</c:v>
                </c:pt>
                <c:pt idx="2">
                  <c:v>4</c:v>
                </c:pt>
                <c:pt idx="3">
                  <c:v>5</c:v>
                </c:pt>
                <c:pt idx="4">
                  <c:v>1</c:v>
                </c:pt>
              </c:numCache>
            </c:numRef>
          </c:val>
        </c:ser>
        <c:ser>
          <c:idx val="1"/>
          <c:order val="1"/>
          <c:tx>
            <c:strRef>
              <c:f>Sheet18!$E$29</c:f>
              <c:strCache>
                <c:ptCount val="1"/>
                <c:pt idx="0">
                  <c:v>Nacrti</c:v>
                </c:pt>
              </c:strCache>
            </c:strRef>
          </c:tx>
          <c:invertIfNegative val="0"/>
          <c:dLbls>
            <c:dLbl>
              <c:idx val="4"/>
              <c:layout>
                <c:manualLayout>
                  <c:x val="0"/>
                  <c:y val="-2.11360634081902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Sheet18!$C$30:$C$36</c:f>
              <c:strCache>
                <c:ptCount val="5"/>
                <c:pt idx="0">
                  <c:v> I-VI 2011.</c:v>
                </c:pt>
                <c:pt idx="1">
                  <c:v> I-VI 2012.</c:v>
                </c:pt>
                <c:pt idx="2">
                  <c:v> I-VI 2013.</c:v>
                </c:pt>
                <c:pt idx="3">
                  <c:v> I-VI 2014.</c:v>
                </c:pt>
                <c:pt idx="4">
                  <c:v> I-VI 2015.</c:v>
                </c:pt>
              </c:strCache>
            </c:strRef>
          </c:cat>
          <c:val>
            <c:numRef>
              <c:f>Sheet18!$E$30:$E$36</c:f>
              <c:numCache>
                <c:formatCode>General</c:formatCode>
                <c:ptCount val="5"/>
                <c:pt idx="0">
                  <c:v>0</c:v>
                </c:pt>
                <c:pt idx="1">
                  <c:v>0</c:v>
                </c:pt>
                <c:pt idx="2">
                  <c:v>3</c:v>
                </c:pt>
                <c:pt idx="3">
                  <c:v>2</c:v>
                </c:pt>
                <c:pt idx="4">
                  <c:v>0</c:v>
                </c:pt>
              </c:numCache>
            </c:numRef>
          </c:val>
        </c:ser>
        <c:dLbls>
          <c:showLegendKey val="0"/>
          <c:showVal val="1"/>
          <c:showCatName val="0"/>
          <c:showSerName val="0"/>
          <c:showPercent val="0"/>
          <c:showBubbleSize val="0"/>
        </c:dLbls>
        <c:gapWidth val="95"/>
        <c:gapDepth val="95"/>
        <c:shape val="box"/>
        <c:axId val="129324032"/>
        <c:axId val="121870528"/>
        <c:axId val="0"/>
      </c:bar3DChart>
      <c:catAx>
        <c:axId val="129324032"/>
        <c:scaling>
          <c:orientation val="minMax"/>
        </c:scaling>
        <c:delete val="0"/>
        <c:axPos val="b"/>
        <c:numFmt formatCode="General" sourceLinked="0"/>
        <c:majorTickMark val="none"/>
        <c:minorTickMark val="none"/>
        <c:tickLblPos val="nextTo"/>
        <c:txPr>
          <a:bodyPr/>
          <a:lstStyle/>
          <a:p>
            <a:pPr>
              <a:defRPr sz="1100" b="1"/>
            </a:pPr>
            <a:endParaRPr lang="en-US"/>
          </a:p>
        </c:txPr>
        <c:crossAx val="121870528"/>
        <c:crosses val="autoZero"/>
        <c:auto val="1"/>
        <c:lblAlgn val="ctr"/>
        <c:lblOffset val="100"/>
        <c:noMultiLvlLbl val="0"/>
      </c:catAx>
      <c:valAx>
        <c:axId val="121870528"/>
        <c:scaling>
          <c:orientation val="minMax"/>
        </c:scaling>
        <c:delete val="1"/>
        <c:axPos val="l"/>
        <c:numFmt formatCode="General" sourceLinked="1"/>
        <c:majorTickMark val="out"/>
        <c:minorTickMark val="none"/>
        <c:tickLblPos val="none"/>
        <c:crossAx val="129324032"/>
        <c:crosses val="autoZero"/>
        <c:crossBetween val="between"/>
      </c:valAx>
    </c:plotArea>
    <c:legend>
      <c:legendPos val="t"/>
      <c:overlay val="0"/>
      <c:txPr>
        <a:bodyPr/>
        <a:lstStyle/>
        <a:p>
          <a:pPr>
            <a:defRPr sz="1100" b="1"/>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bs-Latn-BA" sz="1400">
                <a:solidFill>
                  <a:sysClr val="windowText" lastClr="000000"/>
                </a:solidFill>
              </a:rPr>
              <a:t>Mjesečni prosjek usvajanja zakona u Skupštini K10, po mandatima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7777777777777936E-2"/>
                  <c:y val="-7.40740740740741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888888888888889E-2"/>
                  <c:y val="-8.3333333333333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Sheet19!$C$6:$C$7</c:f>
              <c:strCache>
                <c:ptCount val="3"/>
                <c:pt idx="0">
                  <c:v>2007-2010</c:v>
                </c:pt>
                <c:pt idx="1">
                  <c:v>2011-2014</c:v>
                </c:pt>
                <c:pt idx="2">
                  <c:v>2015-2015</c:v>
                </c:pt>
              </c:strCache>
            </c:strRef>
          </c:cat>
          <c:val>
            <c:numRef>
              <c:f>Sheet19!$D$6:$D$7</c:f>
              <c:numCache>
                <c:formatCode>General</c:formatCode>
                <c:ptCount val="3"/>
                <c:pt idx="0">
                  <c:v>0.48000000000000032</c:v>
                </c:pt>
                <c:pt idx="1">
                  <c:v>0.38000000000000089</c:v>
                </c:pt>
                <c:pt idx="2">
                  <c:v>0.17</c:v>
                </c:pt>
              </c:numCache>
            </c:numRef>
          </c:val>
        </c:ser>
        <c:dLbls>
          <c:showLegendKey val="0"/>
          <c:showVal val="1"/>
          <c:showCatName val="0"/>
          <c:showSerName val="0"/>
          <c:showPercent val="0"/>
          <c:showBubbleSize val="0"/>
        </c:dLbls>
        <c:gapWidth val="150"/>
        <c:shape val="box"/>
        <c:axId val="121092608"/>
        <c:axId val="129532480"/>
        <c:axId val="0"/>
      </c:bar3DChart>
      <c:catAx>
        <c:axId val="121092608"/>
        <c:scaling>
          <c:orientation val="minMax"/>
        </c:scaling>
        <c:delete val="0"/>
        <c:axPos val="b"/>
        <c:numFmt formatCode="General" sourceLinked="0"/>
        <c:majorTickMark val="none"/>
        <c:minorTickMark val="none"/>
        <c:tickLblPos val="nextTo"/>
        <c:crossAx val="129532480"/>
        <c:crosses val="autoZero"/>
        <c:auto val="1"/>
        <c:lblAlgn val="ctr"/>
        <c:lblOffset val="100"/>
        <c:noMultiLvlLbl val="0"/>
      </c:catAx>
      <c:valAx>
        <c:axId val="129532480"/>
        <c:scaling>
          <c:orientation val="minMax"/>
        </c:scaling>
        <c:delete val="1"/>
        <c:axPos val="l"/>
        <c:numFmt formatCode="General" sourceLinked="1"/>
        <c:majorTickMark val="none"/>
        <c:minorTickMark val="none"/>
        <c:tickLblPos val="none"/>
        <c:crossAx val="12109260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bs-Latn-BA" sz="1400">
                <a:solidFill>
                  <a:sysClr val="windowText" lastClr="000000"/>
                </a:solidFill>
              </a:rPr>
              <a:t>Koordinacija rada Vlade i Skupštine Kantona 10, u realizaciji zakonodavnih obveza, u razdoblju 1.1.2015.-30.6.2015.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Sheet20!$C$6</c:f>
              <c:strCache>
                <c:ptCount val="1"/>
                <c:pt idx="0">
                  <c:v>Vlada</c:v>
                </c:pt>
              </c:strCache>
            </c:strRef>
          </c:tx>
          <c:invertIfNegative val="0"/>
          <c:dLbls>
            <c:spPr>
              <a:noFill/>
              <a:ln>
                <a:noFill/>
              </a:ln>
              <a:effectLst/>
            </c:spPr>
            <c:txPr>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Sheet20!$D$5:$E$5</c:f>
              <c:strCache>
                <c:ptCount val="2"/>
                <c:pt idx="0">
                  <c:v>Nacrti</c:v>
                </c:pt>
                <c:pt idx="1">
                  <c:v>Prijedlozi</c:v>
                </c:pt>
              </c:strCache>
            </c:strRef>
          </c:cat>
          <c:val>
            <c:numRef>
              <c:f>Sheet20!$D$6:$E$6</c:f>
              <c:numCache>
                <c:formatCode>General</c:formatCode>
                <c:ptCount val="2"/>
                <c:pt idx="0">
                  <c:v>0</c:v>
                </c:pt>
                <c:pt idx="1">
                  <c:v>1</c:v>
                </c:pt>
              </c:numCache>
            </c:numRef>
          </c:val>
        </c:ser>
        <c:ser>
          <c:idx val="1"/>
          <c:order val="1"/>
          <c:tx>
            <c:strRef>
              <c:f>Sheet20!$C$7</c:f>
              <c:strCache>
                <c:ptCount val="1"/>
                <c:pt idx="0">
                  <c:v>Skupština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Sheet20!$D$5:$E$5</c:f>
              <c:strCache>
                <c:ptCount val="2"/>
                <c:pt idx="0">
                  <c:v>Nacrti</c:v>
                </c:pt>
                <c:pt idx="1">
                  <c:v>Prijedlozi</c:v>
                </c:pt>
              </c:strCache>
            </c:strRef>
          </c:cat>
          <c:val>
            <c:numRef>
              <c:f>Sheet20!$D$7:$E$7</c:f>
              <c:numCache>
                <c:formatCode>General</c:formatCode>
                <c:ptCount val="2"/>
                <c:pt idx="0">
                  <c:v>0</c:v>
                </c:pt>
                <c:pt idx="1">
                  <c:v>1</c:v>
                </c:pt>
              </c:numCache>
            </c:numRef>
          </c:val>
        </c:ser>
        <c:dLbls>
          <c:showLegendKey val="0"/>
          <c:showVal val="1"/>
          <c:showCatName val="0"/>
          <c:showSerName val="0"/>
          <c:showPercent val="0"/>
          <c:showBubbleSize val="0"/>
        </c:dLbls>
        <c:gapWidth val="150"/>
        <c:shape val="box"/>
        <c:axId val="121093120"/>
        <c:axId val="129534208"/>
        <c:axId val="0"/>
      </c:bar3DChart>
      <c:catAx>
        <c:axId val="121093120"/>
        <c:scaling>
          <c:orientation val="minMax"/>
        </c:scaling>
        <c:delete val="0"/>
        <c:axPos val="b"/>
        <c:numFmt formatCode="General" sourceLinked="0"/>
        <c:majorTickMark val="none"/>
        <c:minorTickMark val="none"/>
        <c:tickLblPos val="nextTo"/>
        <c:txPr>
          <a:bodyPr/>
          <a:lstStyle/>
          <a:p>
            <a:pPr>
              <a:defRPr sz="1100"/>
            </a:pPr>
            <a:endParaRPr lang="en-US"/>
          </a:p>
        </c:txPr>
        <c:crossAx val="129534208"/>
        <c:crosses val="autoZero"/>
        <c:auto val="1"/>
        <c:lblAlgn val="ctr"/>
        <c:lblOffset val="100"/>
        <c:noMultiLvlLbl val="0"/>
      </c:catAx>
      <c:valAx>
        <c:axId val="129534208"/>
        <c:scaling>
          <c:orientation val="minMax"/>
        </c:scaling>
        <c:delete val="1"/>
        <c:axPos val="l"/>
        <c:numFmt formatCode="General" sourceLinked="1"/>
        <c:majorTickMark val="none"/>
        <c:minorTickMark val="none"/>
        <c:tickLblPos val="none"/>
        <c:crossAx val="121093120"/>
        <c:crosses val="autoZero"/>
        <c:crossBetween val="between"/>
      </c:valAx>
    </c:plotArea>
    <c:legend>
      <c:legendPos val="t"/>
      <c:overlay val="0"/>
      <c:txPr>
        <a:bodyPr/>
        <a:lstStyle/>
        <a:p>
          <a:pPr>
            <a:defRPr sz="1100"/>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sz="1400"/>
              <a:t>Nazočnost zastupnika</a:t>
            </a:r>
            <a:r>
              <a:rPr lang="hr-HR" sz="1400" baseline="0"/>
              <a:t> sjednicama Skupštine Kantona 10</a:t>
            </a:r>
            <a:endParaRPr lang="hr-HR"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List8!$A$2:$A$3</c:f>
              <c:strCache>
                <c:ptCount val="2"/>
                <c:pt idx="0">
                  <c:v>nazočili svim zasjedanjima</c:v>
                </c:pt>
                <c:pt idx="1">
                  <c:v>nisu nazočili na jednom zasjedanju</c:v>
                </c:pt>
              </c:strCache>
            </c:strRef>
          </c:cat>
          <c:val>
            <c:numRef>
              <c:f>List8!$B$2:$B$3</c:f>
              <c:numCache>
                <c:formatCode>General</c:formatCode>
                <c:ptCount val="2"/>
                <c:pt idx="0">
                  <c:v>23</c:v>
                </c:pt>
                <c:pt idx="1">
                  <c:v>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hr-HR" sz="1400"/>
              <a:t>Razmatrane mjere na sjednicama Skupštine Kantona 10, u razdoblju</a:t>
            </a:r>
            <a:r>
              <a:rPr lang="hr-HR" sz="1400" baseline="0"/>
              <a:t> 1.1.2015.-30.6.2015.godine, po tipovima</a:t>
            </a:r>
            <a:endParaRPr lang="hr-HR" sz="1400"/>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List1!$A$1:$A$5</c:f>
              <c:strCache>
                <c:ptCount val="5"/>
                <c:pt idx="0">
                  <c:v>Strategije</c:v>
                </c:pt>
                <c:pt idx="1">
                  <c:v>Planovi i programi </c:v>
                </c:pt>
                <c:pt idx="2">
                  <c:v>Zakoni</c:v>
                </c:pt>
                <c:pt idx="3">
                  <c:v>Proračun</c:v>
                </c:pt>
                <c:pt idx="4">
                  <c:v>Odluke</c:v>
                </c:pt>
              </c:strCache>
            </c:strRef>
          </c:cat>
          <c:val>
            <c:numRef>
              <c:f>List1!$B$1:$B$5</c:f>
              <c:numCache>
                <c:formatCode>General</c:formatCode>
                <c:ptCount val="5"/>
                <c:pt idx="0">
                  <c:v>0</c:v>
                </c:pt>
                <c:pt idx="1">
                  <c:v>1</c:v>
                </c:pt>
                <c:pt idx="2">
                  <c:v>2</c:v>
                </c:pt>
                <c:pt idx="3">
                  <c:v>2</c:v>
                </c:pt>
                <c:pt idx="4">
                  <c:v>6</c:v>
                </c:pt>
              </c:numCache>
            </c:numRef>
          </c:val>
        </c:ser>
        <c:dLbls>
          <c:showLegendKey val="0"/>
          <c:showVal val="1"/>
          <c:showCatName val="0"/>
          <c:showSerName val="0"/>
          <c:showPercent val="0"/>
          <c:showBubbleSize val="0"/>
        </c:dLbls>
        <c:gapWidth val="150"/>
        <c:shape val="box"/>
        <c:axId val="121093632"/>
        <c:axId val="149442496"/>
        <c:axId val="0"/>
      </c:bar3DChart>
      <c:catAx>
        <c:axId val="121093632"/>
        <c:scaling>
          <c:orientation val="minMax"/>
        </c:scaling>
        <c:delete val="0"/>
        <c:axPos val="l"/>
        <c:majorTickMark val="none"/>
        <c:minorTickMark val="none"/>
        <c:tickLblPos val="nextTo"/>
        <c:crossAx val="149442496"/>
        <c:crosses val="autoZero"/>
        <c:auto val="1"/>
        <c:lblAlgn val="ctr"/>
        <c:lblOffset val="100"/>
        <c:noMultiLvlLbl val="0"/>
      </c:catAx>
      <c:valAx>
        <c:axId val="149442496"/>
        <c:scaling>
          <c:orientation val="minMax"/>
        </c:scaling>
        <c:delete val="1"/>
        <c:axPos val="b"/>
        <c:numFmt formatCode="General" sourceLinked="1"/>
        <c:majorTickMark val="out"/>
        <c:minorTickMark val="none"/>
        <c:tickLblPos val="none"/>
        <c:crossAx val="1210936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hr-HR" sz="1400"/>
              <a:t>Učinkovitost rada Skupštine Kantona 10 u 2015.godini</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3965141612200435E-2"/>
          <c:y val="0.12498378879110709"/>
          <c:w val="0.95206971677560004"/>
          <c:h val="0.67518856934327065"/>
        </c:manualLayout>
      </c:layout>
      <c:bar3DChart>
        <c:barDir val="col"/>
        <c:grouping val="clustered"/>
        <c:varyColors val="0"/>
        <c:ser>
          <c:idx val="0"/>
          <c:order val="0"/>
          <c:tx>
            <c:strRef>
              <c:f>List2!$B$1</c:f>
              <c:strCache>
                <c:ptCount val="1"/>
                <c:pt idx="0">
                  <c:v>broj sati provedenih na sjednici</c:v>
                </c:pt>
              </c:strCache>
            </c:strRef>
          </c:tx>
          <c:invertIfNegative val="0"/>
          <c:cat>
            <c:strRef>
              <c:f>List2!$A$2:$A$13</c:f>
              <c:strCache>
                <c:ptCount val="12"/>
                <c:pt idx="0">
                  <c:v>siječ</c:v>
                </c:pt>
                <c:pt idx="1">
                  <c:v>velj</c:v>
                </c:pt>
                <c:pt idx="2">
                  <c:v>ožu</c:v>
                </c:pt>
                <c:pt idx="3">
                  <c:v>tra</c:v>
                </c:pt>
                <c:pt idx="4">
                  <c:v>svi</c:v>
                </c:pt>
                <c:pt idx="5">
                  <c:v>lip</c:v>
                </c:pt>
                <c:pt idx="6">
                  <c:v>srp</c:v>
                </c:pt>
                <c:pt idx="7">
                  <c:v>kol</c:v>
                </c:pt>
                <c:pt idx="8">
                  <c:v>ruj</c:v>
                </c:pt>
                <c:pt idx="9">
                  <c:v>lis</c:v>
                </c:pt>
                <c:pt idx="10">
                  <c:v>stu</c:v>
                </c:pt>
                <c:pt idx="11">
                  <c:v>pro</c:v>
                </c:pt>
              </c:strCache>
            </c:strRef>
          </c:cat>
          <c:val>
            <c:numRef>
              <c:f>List2!$B$2:$B$13</c:f>
              <c:numCache>
                <c:formatCode>General</c:formatCode>
                <c:ptCount val="12"/>
                <c:pt idx="0" formatCode="h:mm">
                  <c:v>4.1666666666666664E-2</c:v>
                </c:pt>
                <c:pt idx="1">
                  <c:v>0</c:v>
                </c:pt>
                <c:pt idx="2">
                  <c:v>0</c:v>
                </c:pt>
                <c:pt idx="3" formatCode="h:mm">
                  <c:v>0.2013888888888889</c:v>
                </c:pt>
                <c:pt idx="4" formatCode="h:mm">
                  <c:v>9.7222222222222224E-2</c:v>
                </c:pt>
                <c:pt idx="5">
                  <c:v>0</c:v>
                </c:pt>
              </c:numCache>
            </c:numRef>
          </c:val>
        </c:ser>
        <c:ser>
          <c:idx val="1"/>
          <c:order val="1"/>
          <c:tx>
            <c:strRef>
              <c:f>List2!$C$1</c:f>
              <c:strCache>
                <c:ptCount val="1"/>
                <c:pt idx="0">
                  <c:v>broj razmatranih mjera</c:v>
                </c:pt>
              </c:strCache>
            </c:strRef>
          </c:tx>
          <c:invertIfNegative val="0"/>
          <c:cat>
            <c:strRef>
              <c:f>List2!$A$2:$A$13</c:f>
              <c:strCache>
                <c:ptCount val="12"/>
                <c:pt idx="0">
                  <c:v>siječ</c:v>
                </c:pt>
                <c:pt idx="1">
                  <c:v>velj</c:v>
                </c:pt>
                <c:pt idx="2">
                  <c:v>ožu</c:v>
                </c:pt>
                <c:pt idx="3">
                  <c:v>tra</c:v>
                </c:pt>
                <c:pt idx="4">
                  <c:v>svi</c:v>
                </c:pt>
                <c:pt idx="5">
                  <c:v>lip</c:v>
                </c:pt>
                <c:pt idx="6">
                  <c:v>srp</c:v>
                </c:pt>
                <c:pt idx="7">
                  <c:v>kol</c:v>
                </c:pt>
                <c:pt idx="8">
                  <c:v>ruj</c:v>
                </c:pt>
                <c:pt idx="9">
                  <c:v>lis</c:v>
                </c:pt>
                <c:pt idx="10">
                  <c:v>stu</c:v>
                </c:pt>
                <c:pt idx="11">
                  <c:v>pro</c:v>
                </c:pt>
              </c:strCache>
            </c:strRef>
          </c:cat>
          <c:val>
            <c:numRef>
              <c:f>List2!$C$2:$C$13</c:f>
              <c:numCache>
                <c:formatCode>General</c:formatCode>
                <c:ptCount val="12"/>
                <c:pt idx="0">
                  <c:v>3</c:v>
                </c:pt>
                <c:pt idx="1">
                  <c:v>0</c:v>
                </c:pt>
                <c:pt idx="2">
                  <c:v>0</c:v>
                </c:pt>
                <c:pt idx="3">
                  <c:v>6</c:v>
                </c:pt>
                <c:pt idx="4">
                  <c:v>4</c:v>
                </c:pt>
                <c:pt idx="5">
                  <c:v>0</c:v>
                </c:pt>
              </c:numCache>
            </c:numRef>
          </c:val>
        </c:ser>
        <c:ser>
          <c:idx val="2"/>
          <c:order val="2"/>
          <c:tx>
            <c:strRef>
              <c:f>List2!$D$1</c:f>
              <c:strCache>
                <c:ptCount val="1"/>
                <c:pt idx="0">
                  <c:v>prosjek po satu</c:v>
                </c:pt>
              </c:strCache>
            </c:strRef>
          </c:tx>
          <c:invertIfNegative val="0"/>
          <c:cat>
            <c:strRef>
              <c:f>List2!$A$2:$A$13</c:f>
              <c:strCache>
                <c:ptCount val="12"/>
                <c:pt idx="0">
                  <c:v>siječ</c:v>
                </c:pt>
                <c:pt idx="1">
                  <c:v>velj</c:v>
                </c:pt>
                <c:pt idx="2">
                  <c:v>ožu</c:v>
                </c:pt>
                <c:pt idx="3">
                  <c:v>tra</c:v>
                </c:pt>
                <c:pt idx="4">
                  <c:v>svi</c:v>
                </c:pt>
                <c:pt idx="5">
                  <c:v>lip</c:v>
                </c:pt>
                <c:pt idx="6">
                  <c:v>srp</c:v>
                </c:pt>
                <c:pt idx="7">
                  <c:v>kol</c:v>
                </c:pt>
                <c:pt idx="8">
                  <c:v>ruj</c:v>
                </c:pt>
                <c:pt idx="9">
                  <c:v>lis</c:v>
                </c:pt>
                <c:pt idx="10">
                  <c:v>stu</c:v>
                </c:pt>
                <c:pt idx="11">
                  <c:v>pro</c:v>
                </c:pt>
              </c:strCache>
            </c:strRef>
          </c:cat>
          <c:val>
            <c:numRef>
              <c:f>List2!$D$2:$D$13</c:f>
              <c:numCache>
                <c:formatCode>General</c:formatCode>
                <c:ptCount val="12"/>
                <c:pt idx="0">
                  <c:v>3</c:v>
                </c:pt>
                <c:pt idx="1">
                  <c:v>0</c:v>
                </c:pt>
                <c:pt idx="2">
                  <c:v>0</c:v>
                </c:pt>
                <c:pt idx="3" formatCode="0.00">
                  <c:v>1.3</c:v>
                </c:pt>
                <c:pt idx="4">
                  <c:v>1.8</c:v>
                </c:pt>
                <c:pt idx="5">
                  <c:v>0</c:v>
                </c:pt>
              </c:numCache>
            </c:numRef>
          </c:val>
        </c:ser>
        <c:dLbls>
          <c:showLegendKey val="0"/>
          <c:showVal val="1"/>
          <c:showCatName val="0"/>
          <c:showSerName val="0"/>
          <c:showPercent val="0"/>
          <c:showBubbleSize val="0"/>
        </c:dLbls>
        <c:gapWidth val="150"/>
        <c:shape val="box"/>
        <c:axId val="121090560"/>
        <c:axId val="149444224"/>
        <c:axId val="0"/>
      </c:bar3DChart>
      <c:catAx>
        <c:axId val="121090560"/>
        <c:scaling>
          <c:orientation val="minMax"/>
        </c:scaling>
        <c:delete val="0"/>
        <c:axPos val="b"/>
        <c:majorTickMark val="none"/>
        <c:minorTickMark val="none"/>
        <c:tickLblPos val="nextTo"/>
        <c:crossAx val="149444224"/>
        <c:crosses val="autoZero"/>
        <c:auto val="1"/>
        <c:lblAlgn val="ctr"/>
        <c:lblOffset val="100"/>
        <c:noMultiLvlLbl val="0"/>
      </c:catAx>
      <c:valAx>
        <c:axId val="149444224"/>
        <c:scaling>
          <c:orientation val="minMax"/>
        </c:scaling>
        <c:delete val="1"/>
        <c:axPos val="l"/>
        <c:numFmt formatCode="h:mm" sourceLinked="1"/>
        <c:majorTickMark val="none"/>
        <c:minorTickMark val="none"/>
        <c:tickLblPos val="none"/>
        <c:crossAx val="121090560"/>
        <c:crosses val="autoZero"/>
        <c:crossBetween val="between"/>
      </c:valAx>
    </c:plotArea>
    <c:legend>
      <c:legendPos val="t"/>
      <c:layout>
        <c:manualLayout>
          <c:xMode val="edge"/>
          <c:yMode val="edge"/>
          <c:x val="5.6246032971368778E-2"/>
          <c:y val="0.90720339101997249"/>
          <c:w val="0.82650575540802562"/>
          <c:h val="6.088523025530913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sz="1400"/>
              <a:t>Poređenje aktualnog</a:t>
            </a:r>
            <a:r>
              <a:rPr lang="hr-HR" sz="1400" baseline="0"/>
              <a:t> sa prethodnim sazivom Skupštine Kantona 10</a:t>
            </a:r>
            <a:endParaRPr lang="hr-HR" sz="1400"/>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List7!$B$1</c:f>
              <c:strCache>
                <c:ptCount val="1"/>
                <c:pt idx="0">
                  <c:v>I-VI 2011</c:v>
                </c:pt>
              </c:strCache>
            </c:strRef>
          </c:tx>
          <c:invertIfNegative val="0"/>
          <c:dLbls>
            <c:showLegendKey val="0"/>
            <c:showVal val="1"/>
            <c:showCatName val="0"/>
            <c:showSerName val="0"/>
            <c:showPercent val="0"/>
            <c:showBubbleSize val="0"/>
            <c:showLeaderLines val="0"/>
          </c:dLbls>
          <c:cat>
            <c:strRef>
              <c:f>List7!$A$2:$A$4</c:f>
              <c:strCache>
                <c:ptCount val="3"/>
                <c:pt idx="0">
                  <c:v>broj zasjedanja</c:v>
                </c:pt>
                <c:pt idx="1">
                  <c:v>broj sati provedenih na zasjedanju</c:v>
                </c:pt>
                <c:pt idx="2">
                  <c:v>broj razmatranih mjera</c:v>
                </c:pt>
              </c:strCache>
            </c:strRef>
          </c:cat>
          <c:val>
            <c:numRef>
              <c:f>List7!$B$2:$B$4</c:f>
              <c:numCache>
                <c:formatCode>General</c:formatCode>
                <c:ptCount val="3"/>
                <c:pt idx="0">
                  <c:v>3</c:v>
                </c:pt>
                <c:pt idx="1">
                  <c:v>6.6</c:v>
                </c:pt>
                <c:pt idx="2">
                  <c:v>10</c:v>
                </c:pt>
              </c:numCache>
            </c:numRef>
          </c:val>
        </c:ser>
        <c:ser>
          <c:idx val="1"/>
          <c:order val="1"/>
          <c:tx>
            <c:strRef>
              <c:f>List7!$C$1</c:f>
              <c:strCache>
                <c:ptCount val="1"/>
                <c:pt idx="0">
                  <c:v>I-VI 2015</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List7!$A$2:$A$4</c:f>
              <c:strCache>
                <c:ptCount val="3"/>
                <c:pt idx="0">
                  <c:v>broj zasjedanja</c:v>
                </c:pt>
                <c:pt idx="1">
                  <c:v>broj sati provedenih na zasjedanju</c:v>
                </c:pt>
                <c:pt idx="2">
                  <c:v>broj razmatranih mjera</c:v>
                </c:pt>
              </c:strCache>
            </c:strRef>
          </c:cat>
          <c:val>
            <c:numRef>
              <c:f>List7!$C$2:$C$4</c:f>
              <c:numCache>
                <c:formatCode>General</c:formatCode>
                <c:ptCount val="3"/>
                <c:pt idx="0">
                  <c:v>4</c:v>
                </c:pt>
                <c:pt idx="1">
                  <c:v>8.1</c:v>
                </c:pt>
                <c:pt idx="2">
                  <c:v>13</c:v>
                </c:pt>
              </c:numCache>
            </c:numRef>
          </c:val>
        </c:ser>
        <c:dLbls>
          <c:showLegendKey val="0"/>
          <c:showVal val="0"/>
          <c:showCatName val="0"/>
          <c:showSerName val="0"/>
          <c:showPercent val="0"/>
          <c:showBubbleSize val="0"/>
        </c:dLbls>
        <c:gapWidth val="150"/>
        <c:shape val="box"/>
        <c:axId val="121091072"/>
        <c:axId val="149445952"/>
        <c:axId val="0"/>
      </c:bar3DChart>
      <c:catAx>
        <c:axId val="121091072"/>
        <c:scaling>
          <c:orientation val="minMax"/>
        </c:scaling>
        <c:delete val="0"/>
        <c:axPos val="b"/>
        <c:majorTickMark val="none"/>
        <c:minorTickMark val="none"/>
        <c:tickLblPos val="nextTo"/>
        <c:txPr>
          <a:bodyPr/>
          <a:lstStyle/>
          <a:p>
            <a:pPr>
              <a:defRPr b="1">
                <a:latin typeface="Arial" pitchFamily="34" charset="0"/>
                <a:cs typeface="Arial" pitchFamily="34" charset="0"/>
              </a:defRPr>
            </a:pPr>
            <a:endParaRPr lang="en-US"/>
          </a:p>
        </c:txPr>
        <c:crossAx val="149445952"/>
        <c:crosses val="autoZero"/>
        <c:auto val="1"/>
        <c:lblAlgn val="ctr"/>
        <c:lblOffset val="100"/>
        <c:noMultiLvlLbl val="0"/>
      </c:catAx>
      <c:valAx>
        <c:axId val="149445952"/>
        <c:scaling>
          <c:orientation val="minMax"/>
        </c:scaling>
        <c:delete val="1"/>
        <c:axPos val="l"/>
        <c:numFmt formatCode="General" sourceLinked="1"/>
        <c:majorTickMark val="out"/>
        <c:minorTickMark val="none"/>
        <c:tickLblPos val="none"/>
        <c:crossAx val="121091072"/>
        <c:crosses val="autoZero"/>
        <c:crossBetween val="between"/>
      </c:valAx>
    </c:plotArea>
    <c:legend>
      <c:legendPos val="r"/>
      <c:overlay val="0"/>
      <c:txPr>
        <a:bodyPr/>
        <a:lstStyle/>
        <a:p>
          <a:pPr>
            <a:defRPr b="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bs-Latn-BA" sz="1400">
                <a:solidFill>
                  <a:sysClr val="windowText" lastClr="000000"/>
                </a:solidFill>
              </a:rPr>
              <a:t>Realizacija mjera u Skupštini Kantona 10</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Sheet31!$D$6:$D$12</c:f>
              <c:strCache>
                <c:ptCount val="5"/>
                <c:pt idx="0">
                  <c:v>I-VI 2011.</c:v>
                </c:pt>
                <c:pt idx="1">
                  <c:v>I-VI 2012.</c:v>
                </c:pt>
                <c:pt idx="2">
                  <c:v>I-VI 2013.</c:v>
                </c:pt>
                <c:pt idx="3">
                  <c:v>I-VI 2014.</c:v>
                </c:pt>
                <c:pt idx="4">
                  <c:v>I-VI 2015.</c:v>
                </c:pt>
              </c:strCache>
            </c:strRef>
          </c:cat>
          <c:val>
            <c:numRef>
              <c:f>Sheet31!$E$6:$E$12</c:f>
              <c:numCache>
                <c:formatCode>General</c:formatCode>
                <c:ptCount val="5"/>
                <c:pt idx="0">
                  <c:v>9</c:v>
                </c:pt>
                <c:pt idx="1">
                  <c:v>8</c:v>
                </c:pt>
                <c:pt idx="2">
                  <c:v>16</c:v>
                </c:pt>
                <c:pt idx="3">
                  <c:v>18</c:v>
                </c:pt>
                <c:pt idx="4">
                  <c:v>11</c:v>
                </c:pt>
              </c:numCache>
            </c:numRef>
          </c:val>
        </c:ser>
        <c:dLbls>
          <c:showLegendKey val="0"/>
          <c:showVal val="1"/>
          <c:showCatName val="0"/>
          <c:showSerName val="0"/>
          <c:showPercent val="0"/>
          <c:showBubbleSize val="0"/>
        </c:dLbls>
        <c:gapWidth val="150"/>
        <c:shape val="box"/>
        <c:axId val="121091584"/>
        <c:axId val="121865920"/>
        <c:axId val="0"/>
      </c:bar3DChart>
      <c:catAx>
        <c:axId val="121091584"/>
        <c:scaling>
          <c:orientation val="minMax"/>
        </c:scaling>
        <c:delete val="0"/>
        <c:axPos val="b"/>
        <c:numFmt formatCode="General" sourceLinked="0"/>
        <c:majorTickMark val="none"/>
        <c:minorTickMark val="none"/>
        <c:tickLblPos val="nextTo"/>
        <c:crossAx val="121865920"/>
        <c:crosses val="autoZero"/>
        <c:auto val="1"/>
        <c:lblAlgn val="ctr"/>
        <c:lblOffset val="100"/>
        <c:noMultiLvlLbl val="0"/>
      </c:catAx>
      <c:valAx>
        <c:axId val="121865920"/>
        <c:scaling>
          <c:orientation val="minMax"/>
        </c:scaling>
        <c:delete val="1"/>
        <c:axPos val="l"/>
        <c:numFmt formatCode="General" sourceLinked="1"/>
        <c:majorTickMark val="out"/>
        <c:minorTickMark val="none"/>
        <c:tickLblPos val="none"/>
        <c:crossAx val="1210915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bs-Latn-BA" sz="1400" b="1" i="0" baseline="0">
                <a:solidFill>
                  <a:sysClr val="windowText" lastClr="000000"/>
                </a:solidFill>
                <a:effectLst/>
              </a:rPr>
              <a:t>Rezultat ukupne zakonodavne aktivnosti Skupštine Kantona 10, u razdoblju 1.1.2015.-30.6.2015.godine</a:t>
            </a:r>
            <a:endParaRPr lang="bs-Latn-BA" sz="1400">
              <a:solidFill>
                <a:sysClr val="windowText" lastClr="000000"/>
              </a:solidFill>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3255813953488372E-2"/>
                  <c:y val="-5.55555555555554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37984496124031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317829457364407E-2"/>
                  <c:y val="-4.62962962962964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Sheet10!$S$6:$U$6</c:f>
              <c:strCache>
                <c:ptCount val="3"/>
                <c:pt idx="0">
                  <c:v>Usvojeno</c:v>
                </c:pt>
                <c:pt idx="1">
                  <c:v>Prihvaćeno u nacrtu</c:v>
                </c:pt>
                <c:pt idx="2">
                  <c:v>Odbijeno</c:v>
                </c:pt>
              </c:strCache>
            </c:strRef>
          </c:cat>
          <c:val>
            <c:numRef>
              <c:f>Sheet10!$S$7:$U$7</c:f>
              <c:numCache>
                <c:formatCode>General</c:formatCode>
                <c:ptCount val="3"/>
                <c:pt idx="0">
                  <c:v>1</c:v>
                </c:pt>
                <c:pt idx="1">
                  <c:v>0</c:v>
                </c:pt>
                <c:pt idx="2">
                  <c:v>0</c:v>
                </c:pt>
              </c:numCache>
            </c:numRef>
          </c:val>
        </c:ser>
        <c:dLbls>
          <c:showLegendKey val="0"/>
          <c:showVal val="1"/>
          <c:showCatName val="0"/>
          <c:showSerName val="0"/>
          <c:showPercent val="0"/>
          <c:showBubbleSize val="0"/>
        </c:dLbls>
        <c:gapWidth val="150"/>
        <c:shape val="box"/>
        <c:axId val="121092096"/>
        <c:axId val="121867072"/>
        <c:axId val="0"/>
      </c:bar3DChart>
      <c:catAx>
        <c:axId val="121092096"/>
        <c:scaling>
          <c:orientation val="minMax"/>
        </c:scaling>
        <c:delete val="0"/>
        <c:axPos val="b"/>
        <c:numFmt formatCode="General" sourceLinked="0"/>
        <c:majorTickMark val="none"/>
        <c:minorTickMark val="none"/>
        <c:tickLblPos val="nextTo"/>
        <c:txPr>
          <a:bodyPr/>
          <a:lstStyle/>
          <a:p>
            <a:pPr>
              <a:defRPr sz="1100" b="1"/>
            </a:pPr>
            <a:endParaRPr lang="en-US"/>
          </a:p>
        </c:txPr>
        <c:crossAx val="121867072"/>
        <c:crosses val="autoZero"/>
        <c:auto val="1"/>
        <c:lblAlgn val="ctr"/>
        <c:lblOffset val="100"/>
        <c:noMultiLvlLbl val="0"/>
      </c:catAx>
      <c:valAx>
        <c:axId val="121867072"/>
        <c:scaling>
          <c:orientation val="minMax"/>
        </c:scaling>
        <c:delete val="1"/>
        <c:axPos val="l"/>
        <c:numFmt formatCode="General" sourceLinked="1"/>
        <c:majorTickMark val="out"/>
        <c:minorTickMark val="none"/>
        <c:tickLblPos val="none"/>
        <c:crossAx val="12109209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400"/>
              <a:t>Usvajanje zakona u Skupštini</a:t>
            </a:r>
            <a:r>
              <a:rPr lang="bs-Latn-BA" sz="1400">
                <a:solidFill>
                  <a:srgbClr val="000000"/>
                </a:solidFill>
              </a:rPr>
              <a:t> K10 </a:t>
            </a:r>
            <a:r>
              <a:rPr lang="bs-Latn-BA" sz="1400"/>
              <a:t>, u</a:t>
            </a:r>
            <a:r>
              <a:rPr lang="bs-Latn-BA" sz="1400">
                <a:solidFill>
                  <a:srgbClr val="000000"/>
                </a:solidFill>
              </a:rPr>
              <a:t> 2015 </a:t>
            </a:r>
            <a:r>
              <a:rPr lang="bs-Latn-BA" sz="1400"/>
              <a:t>. godini</a:t>
            </a:r>
          </a:p>
        </c:rich>
      </c:tx>
      <c:overlay val="0"/>
    </c:title>
    <c:autoTitleDeleted val="0"/>
    <c:plotArea>
      <c:layout/>
      <c:lineChart>
        <c:grouping val="standard"/>
        <c:varyColors val="0"/>
        <c:ser>
          <c:idx val="0"/>
          <c:order val="0"/>
          <c:marker>
            <c:symbol val="none"/>
          </c:marker>
          <c:dLbls>
            <c:spPr>
              <a:noFill/>
              <a:ln>
                <a:noFill/>
              </a:ln>
              <a:effectLst/>
            </c:spPr>
            <c:txPr>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Sheet16!$C$6:$C$17</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Sheet16!$D$6:$D$17</c:f>
              <c:numCache>
                <c:formatCode>General</c:formatCode>
                <c:ptCount val="12"/>
                <c:pt idx="0">
                  <c:v>0</c:v>
                </c:pt>
                <c:pt idx="1">
                  <c:v>0</c:v>
                </c:pt>
                <c:pt idx="2">
                  <c:v>0</c:v>
                </c:pt>
                <c:pt idx="3">
                  <c:v>1</c:v>
                </c:pt>
                <c:pt idx="4">
                  <c:v>0</c:v>
                </c:pt>
                <c:pt idx="5">
                  <c:v>0</c:v>
                </c:pt>
              </c:numCache>
            </c:numRef>
          </c:val>
          <c:smooth val="0"/>
        </c:ser>
        <c:dLbls>
          <c:showLegendKey val="0"/>
          <c:showVal val="1"/>
          <c:showCatName val="0"/>
          <c:showSerName val="0"/>
          <c:showPercent val="0"/>
          <c:showBubbleSize val="0"/>
        </c:dLbls>
        <c:marker val="1"/>
        <c:smooth val="0"/>
        <c:axId val="129323008"/>
        <c:axId val="121868800"/>
      </c:lineChart>
      <c:catAx>
        <c:axId val="129323008"/>
        <c:scaling>
          <c:orientation val="minMax"/>
        </c:scaling>
        <c:delete val="0"/>
        <c:axPos val="b"/>
        <c:numFmt formatCode="General" sourceLinked="0"/>
        <c:majorTickMark val="none"/>
        <c:minorTickMark val="none"/>
        <c:tickLblPos val="nextTo"/>
        <c:txPr>
          <a:bodyPr/>
          <a:lstStyle/>
          <a:p>
            <a:pPr>
              <a:defRPr sz="1100"/>
            </a:pPr>
            <a:endParaRPr lang="en-US"/>
          </a:p>
        </c:txPr>
        <c:crossAx val="121868800"/>
        <c:crosses val="autoZero"/>
        <c:auto val="1"/>
        <c:lblAlgn val="ctr"/>
        <c:lblOffset val="100"/>
        <c:noMultiLvlLbl val="0"/>
      </c:catAx>
      <c:valAx>
        <c:axId val="121868800"/>
        <c:scaling>
          <c:orientation val="minMax"/>
        </c:scaling>
        <c:delete val="1"/>
        <c:axPos val="l"/>
        <c:numFmt formatCode="General" sourceLinked="1"/>
        <c:majorTickMark val="none"/>
        <c:minorTickMark val="none"/>
        <c:tickLblPos val="none"/>
        <c:crossAx val="129323008"/>
        <c:crosses val="autoZero"/>
        <c:crossBetween val="between"/>
      </c:valAx>
    </c:plotArea>
    <c:plotVisOnly val="1"/>
    <c:dispBlanksAs val="gap"/>
    <c:showDLblsOverMax val="0"/>
  </c:chart>
  <c:externalData r:id="rId1">
    <c:autoUpdate val="0"/>
  </c:externalData>
</c:chartSpac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7BB8-61C1-494B-9EF0-E62A972E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10927</Words>
  <Characters>62288</Characters>
  <Application>Microsoft Office Word</Application>
  <DocSecurity>0</DocSecurity>
  <Lines>519</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Bojana</cp:lastModifiedBy>
  <cp:revision>2</cp:revision>
  <dcterms:created xsi:type="dcterms:W3CDTF">2015-07-31T06:32:00Z</dcterms:created>
  <dcterms:modified xsi:type="dcterms:W3CDTF">2015-07-31T06:32:00Z</dcterms:modified>
</cp:coreProperties>
</file>